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29BF" w14:textId="77777777" w:rsidR="00C3611E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</w:rPr>
      </w:pPr>
      <w:r w:rsidRPr="00571217">
        <w:rPr>
          <w:rFonts w:ascii="Verdana" w:hAnsi="Verdana"/>
          <w:b/>
        </w:rPr>
        <w:t>OBJETIVO</w:t>
      </w:r>
    </w:p>
    <w:p w14:paraId="739A6F02" w14:textId="77777777" w:rsidR="00C3611E" w:rsidRPr="00571217" w:rsidRDefault="00C3611E" w:rsidP="00C3611E">
      <w:pPr>
        <w:pStyle w:val="Prrafodelista"/>
        <w:jc w:val="both"/>
        <w:rPr>
          <w:rFonts w:ascii="Verdana" w:hAnsi="Verdana"/>
          <w:b/>
        </w:rPr>
      </w:pPr>
    </w:p>
    <w:p w14:paraId="06A18BC7" w14:textId="60113F91" w:rsidR="00C3611E" w:rsidRDefault="00C3611E" w:rsidP="00C3611E">
      <w:pPr>
        <w:jc w:val="both"/>
        <w:rPr>
          <w:rFonts w:ascii="Verdana" w:hAnsi="Verdana"/>
        </w:rPr>
      </w:pPr>
      <w:r w:rsidRPr="00571217">
        <w:rPr>
          <w:rFonts w:ascii="Verdana" w:hAnsi="Verdana"/>
        </w:rPr>
        <w:t>Orientar a la Oficina de Control Interno de la Supervigilancia</w:t>
      </w:r>
      <w:r w:rsidR="001E4D5E">
        <w:rPr>
          <w:rFonts w:ascii="Verdana" w:hAnsi="Verdana"/>
        </w:rPr>
        <w:t xml:space="preserve"> de Vigilancia y Seguridad Privada,</w:t>
      </w:r>
      <w:r w:rsidRPr="00571217">
        <w:rPr>
          <w:rFonts w:ascii="Verdana" w:hAnsi="Verdana"/>
        </w:rPr>
        <w:t xml:space="preserve"> y demás dependencias responsables de entregar la información, sobre los informes que deben elaborarse y presentarse conforme </w:t>
      </w:r>
      <w:r w:rsidR="00EE469B">
        <w:rPr>
          <w:rFonts w:ascii="Verdana" w:hAnsi="Verdana"/>
        </w:rPr>
        <w:t>con</w:t>
      </w:r>
      <w:r w:rsidRPr="00571217">
        <w:rPr>
          <w:rFonts w:ascii="Verdana" w:hAnsi="Verdana"/>
        </w:rPr>
        <w:t xml:space="preserve"> la normativa vigente, incluyendo su periodicidad, plazos, destinatarios, medios de presentación y observaciones clave.</w:t>
      </w:r>
    </w:p>
    <w:p w14:paraId="7E7C0211" w14:textId="77777777" w:rsidR="00C3611E" w:rsidRPr="00571217" w:rsidRDefault="00C3611E" w:rsidP="00C3611E">
      <w:pPr>
        <w:jc w:val="both"/>
        <w:rPr>
          <w:rFonts w:ascii="Verdana" w:hAnsi="Verdana"/>
        </w:rPr>
      </w:pPr>
    </w:p>
    <w:p w14:paraId="76684FE4" w14:textId="77777777" w:rsidR="00C3611E" w:rsidRPr="00B73896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Textoennegrita"/>
          <w:rFonts w:ascii="Verdana" w:hAnsi="Verdana"/>
          <w:b w:val="0"/>
          <w:bCs w:val="0"/>
        </w:rPr>
      </w:pPr>
      <w:r w:rsidRPr="00571217">
        <w:rPr>
          <w:rStyle w:val="Textoennegrita"/>
          <w:rFonts w:ascii="Verdana" w:hAnsi="Verdana"/>
          <w:bCs w:val="0"/>
        </w:rPr>
        <w:t>INFORMES GENERALES OBLIGATORIOS</w:t>
      </w:r>
    </w:p>
    <w:p w14:paraId="1ACDD8A3" w14:textId="77777777" w:rsidR="00C3611E" w:rsidRDefault="00C3611E" w:rsidP="00C3611E">
      <w:pPr>
        <w:jc w:val="both"/>
        <w:rPr>
          <w:rStyle w:val="Textoennegrita"/>
          <w:rFonts w:ascii="Verdana" w:hAnsi="Verdana"/>
          <w:b w:val="0"/>
          <w:bCs w:val="0"/>
        </w:rPr>
      </w:pPr>
    </w:p>
    <w:p w14:paraId="65FCB3F6" w14:textId="3EEB9A69" w:rsidR="00C3611E" w:rsidRDefault="00C3611E" w:rsidP="00C3611E">
      <w:pPr>
        <w:jc w:val="both"/>
        <w:rPr>
          <w:rStyle w:val="Textoennegrita"/>
          <w:rFonts w:ascii="Verdana" w:hAnsi="Verdana"/>
          <w:b w:val="0"/>
          <w:bCs w:val="0"/>
        </w:rPr>
      </w:pPr>
      <w:r w:rsidRPr="00246F7C">
        <w:rPr>
          <w:rStyle w:val="Textoennegrita"/>
          <w:rFonts w:ascii="Verdana" w:hAnsi="Verdana"/>
          <w:b w:val="0"/>
          <w:bCs w:val="0"/>
        </w:rPr>
        <w:t xml:space="preserve">Se identifican los informes obligatorios que deben ser incluidos en el Plan Anual de Auditorías (PAA), con el objetivo de garantizar el cumplimiento de disposiciones legales, normativas y de control interno, y así proceder con la asignación </w:t>
      </w:r>
      <w:r w:rsidR="00B8588F">
        <w:rPr>
          <w:rStyle w:val="Textoennegrita"/>
          <w:rFonts w:ascii="Verdana" w:hAnsi="Verdana"/>
          <w:b w:val="0"/>
          <w:bCs w:val="0"/>
        </w:rPr>
        <w:t>a</w:t>
      </w:r>
      <w:r w:rsidRPr="00246F7C">
        <w:rPr>
          <w:rStyle w:val="Textoennegrita"/>
          <w:rFonts w:ascii="Verdana" w:hAnsi="Verdana"/>
          <w:b w:val="0"/>
          <w:bCs w:val="0"/>
        </w:rPr>
        <w:t xml:space="preserve"> los profesionales de la oficina responsables de su ejecución</w:t>
      </w:r>
      <w:r>
        <w:rPr>
          <w:rStyle w:val="Textoennegrita"/>
          <w:rFonts w:ascii="Verdana" w:hAnsi="Verdana"/>
          <w:b w:val="0"/>
          <w:bCs w:val="0"/>
        </w:rPr>
        <w:t>:</w:t>
      </w:r>
    </w:p>
    <w:p w14:paraId="2A90E0E6" w14:textId="77777777" w:rsidR="00C3611E" w:rsidRPr="00964B7E" w:rsidRDefault="00C3611E" w:rsidP="00C3611E">
      <w:pPr>
        <w:jc w:val="both"/>
        <w:rPr>
          <w:rFonts w:ascii="Verdana" w:hAnsi="Verdana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264"/>
        <w:gridCol w:w="1584"/>
        <w:gridCol w:w="1113"/>
        <w:gridCol w:w="1590"/>
        <w:gridCol w:w="1764"/>
      </w:tblGrid>
      <w:tr w:rsidR="00C3611E" w:rsidRPr="00571217" w14:paraId="08162859" w14:textId="77777777" w:rsidTr="00461E94">
        <w:trPr>
          <w:trHeight w:val="284"/>
          <w:tblHeader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1310AD0D" w14:textId="77777777" w:rsidR="00C3611E" w:rsidRPr="00F67A3A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INFORME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1CB88DE" w14:textId="77777777" w:rsidR="00C3611E" w:rsidRPr="00F67A3A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NORMA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784E6883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PERIODICIDAD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730C6ED0" w14:textId="77777777" w:rsidR="00C3611E" w:rsidRPr="00F67A3A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PLAZO DE ENTREGA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0410D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DESTINATARIO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A068B2E" w14:textId="77777777" w:rsidR="00C3611E" w:rsidRPr="00F67A3A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OBSERVACIONES</w:t>
            </w:r>
          </w:p>
        </w:tc>
      </w:tr>
      <w:tr w:rsidR="00C3611E" w:rsidRPr="00571217" w14:paraId="41ED93BC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5516A07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Rendición Cuenta Anual (SIRECI)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017EA8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Res. 0042/2020 – CGR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108CEDF9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09923464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Febrero – Abril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8F08604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Contraloría General de la República (CGR)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4E522F4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Gestión financiera y operativa</w:t>
            </w:r>
          </w:p>
        </w:tc>
      </w:tr>
      <w:tr w:rsidR="00C3611E" w:rsidRPr="00571217" w14:paraId="6FB7D8C9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5249695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Informe SGP y Transferencias Nacionales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55A0FFB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SIRECI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4B23FBEE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3E84BAF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5° a 10° día hábil de marzo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504957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BE65E2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 se reciben recursos del SGP</w:t>
            </w:r>
          </w:p>
        </w:tc>
      </w:tr>
      <w:tr w:rsidR="00C3611E" w:rsidRPr="00571217" w14:paraId="68C3CD85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7B047B3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Informe de la Gestión Contractual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5F727D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SIRECI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25BF8A78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Mensual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402FD5B7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6° a 10° día hábil mes siguiente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26A932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435A33B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Contratos suscritos y ejecución</w:t>
            </w:r>
          </w:p>
        </w:tc>
      </w:tr>
      <w:tr w:rsidR="00C3611E" w:rsidRPr="00571217" w14:paraId="12D68F79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3AB0654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Informe de Regalías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C29EEDF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SIRECI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0FBD9C9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Mensual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782CC31D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6° a 10° día hábil mes siguiente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46183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41BA003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Aplica si hay recursos de regalías</w:t>
            </w:r>
          </w:p>
        </w:tc>
      </w:tr>
      <w:tr w:rsidR="00C3611E" w:rsidRPr="00571217" w14:paraId="54AB44AF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4C4ADC83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Planes de Mejoramiento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EFA795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Res. 0042/2020, Circ</w:t>
            </w: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ular</w:t>
            </w: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 xml:space="preserve"> Ext. 15/2020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1A0DB9BA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1B9AD43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Enero y julio (15° a 20° día hábil)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CAF11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D8F7C9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Acciones correctivas de hallazgos</w:t>
            </w:r>
          </w:p>
        </w:tc>
      </w:tr>
      <w:tr w:rsidR="00C3611E" w:rsidRPr="00571217" w14:paraId="4B5FD741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4976BE4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Obras Inconclusas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B6E4EF5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2020/2020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01D7EA72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Mensual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5349B80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6° a 10° día hábil mes siguiente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E24FF18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C5B087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Solo si aplica</w:t>
            </w:r>
          </w:p>
        </w:tc>
      </w:tr>
      <w:tr w:rsidR="00C3611E" w:rsidRPr="00571217" w14:paraId="20CEA4E5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36D1AA5C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Evaluación Sistema Control Interno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4816BC8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1474/2011 – D. 2106/2019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1410A1C3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5D1A81F7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30 julio / 31 enero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F8CF8C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DAFP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503F208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Publicación en la web institucional</w:t>
            </w:r>
          </w:p>
        </w:tc>
      </w:tr>
      <w:tr w:rsidR="00C3611E" w:rsidRPr="00571217" w14:paraId="6E85C314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3298A93A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FURAG – Medición del Desempeño Institucional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5A0ED37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D.1083/2015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29B913F9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3C400BC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Según cronograma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0FABDB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DAFP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440A1A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Aplicativo virtual de Función Pública</w:t>
            </w:r>
          </w:p>
        </w:tc>
      </w:tr>
      <w:tr w:rsidR="00C3611E" w:rsidRPr="00571217" w14:paraId="66F3EB9F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1C99CE3A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Informe Riesgos de corrupción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3895991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 124/2016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73DE8FD" w14:textId="77777777" w:rsidR="00C3611E" w:rsidRPr="00571217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Cuat</w:t>
            </w: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rimestral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D201F87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Mayo, septiembre y enero.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667447" w14:textId="77777777" w:rsidR="00C3611E" w:rsidRPr="00571217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Representante Legal / Ciudadanía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987B9E8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Publicación en la web</w:t>
            </w:r>
          </w:p>
        </w:tc>
      </w:tr>
      <w:tr w:rsidR="00C3611E" w:rsidRPr="00571217" w14:paraId="37404DDD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36A313CB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Seguimiento al Plan Anticorrupción y de Atención al Ciudadano</w:t>
            </w:r>
          </w:p>
          <w:p w14:paraId="293B3534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(Futuro Programa de transparencia y Ética Publica)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5F74D94A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 124/2016</w:t>
            </w:r>
          </w:p>
          <w:p w14:paraId="20C0DE13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  <w:p w14:paraId="221451DA" w14:textId="77777777" w:rsidR="00C3611E" w:rsidRPr="00571217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 xml:space="preserve">En transición: Ley 2195 de 2022 </w:t>
            </w:r>
          </w:p>
          <w:p w14:paraId="0094CE99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Decreto reglamentario 1122 de 2024.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67C6721C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Cuat</w:t>
            </w: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rimestral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431494A8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Mayo, septiembre y enero.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797D956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Representante Legal / Ciudadanía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77965B9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Publicación en la web</w:t>
            </w:r>
          </w:p>
        </w:tc>
      </w:tr>
      <w:tr w:rsidR="00C3611E" w:rsidRPr="00571217" w14:paraId="6EC7C718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38F7E117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lastRenderedPageBreak/>
              <w:t>Control Interno Contable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88305FA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Res. 706/2016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7588FA65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2FAE5D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Hasta 28 de febrero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E500103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Contaduría General – CHIP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E438165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Evaluación y certificación</w:t>
            </w:r>
          </w:p>
        </w:tc>
      </w:tr>
      <w:tr w:rsidR="00C3611E" w:rsidRPr="00571217" w14:paraId="0001C182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012DE7E5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Derechos de Autor Software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5925FF8D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Dir. Pres. 02/2002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21C9A961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5073B56B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Enero - 3er viernes de marzo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03B925" w14:textId="03DE4192" w:rsidR="00C3611E" w:rsidRPr="00F67A3A" w:rsidRDefault="00702840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70284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AGND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3E269CD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Plataforma iSOFT</w:t>
            </w:r>
          </w:p>
        </w:tc>
      </w:tr>
      <w:tr w:rsidR="00C3611E" w:rsidRPr="00571217" w14:paraId="1E17D732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5E694F2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Accesibilidad Web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90E441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1712/2014 – D.103/2015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0357F60A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60868784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Hasta 31 de marzo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409C166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MinTIC / Ciudadanía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54D35DB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Validación y publicación</w:t>
            </w:r>
          </w:p>
        </w:tc>
      </w:tr>
      <w:tr w:rsidR="00C3611E" w:rsidRPr="00571217" w14:paraId="4285E289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13A75B54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Austeridad en el Gasto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66767E8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D.1068/2015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1809E036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Trimestral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4DEB428C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N/A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564C0E9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Archivo institucional / CGR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549928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Verificación en visitas</w:t>
            </w:r>
          </w:p>
        </w:tc>
      </w:tr>
      <w:tr w:rsidR="00C3611E" w:rsidRPr="00571217" w14:paraId="3807929A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255077CA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Evaluación Gestión Institucional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B1047F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909/2004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5AA4ADEF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7AB18B4D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30 de enero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3A153E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CNSC / OCI / Talento Humano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374DA033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 xml:space="preserve">Insumo </w:t>
            </w:r>
            <w:r w:rsidRPr="005712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FURAG – Medición del Desempeño Institucional</w:t>
            </w:r>
          </w:p>
        </w:tc>
      </w:tr>
      <w:tr w:rsidR="00C3611E" w:rsidRPr="00571217" w14:paraId="00D22032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1590022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Cumplimiento Ekogui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50AE59D8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D.1069/2015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4BB9939A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960568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30 junio / 31 diciembre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E391B7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Agencia Defensa Jurídica del Estado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85A072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Certificación</w:t>
            </w:r>
          </w:p>
        </w:tc>
      </w:tr>
      <w:tr w:rsidR="00C3611E" w:rsidRPr="00571217" w14:paraId="022A3382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1829BF49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Plan Mejoramiento Archivístico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49C11F0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D.106/2015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4268EEEE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Trimestral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4EA2EE46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N/A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9BD270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Archivo General de la Nación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3E4F8D2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 hubo inspección previa</w:t>
            </w:r>
          </w:p>
        </w:tc>
      </w:tr>
      <w:tr w:rsidR="00C3611E" w:rsidRPr="00571217" w14:paraId="2AE9EA74" w14:textId="77777777" w:rsidTr="00461E94">
        <w:trPr>
          <w:trHeight w:val="284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14:paraId="2806C3F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Meritocracia y Transparencia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697B37F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909/2004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24CDC96F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Permanente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05B566F1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N/A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3AE732" w14:textId="77777777" w:rsidR="00C3611E" w:rsidRPr="00F67A3A" w:rsidRDefault="00C3611E" w:rsidP="00461E9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DAFP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3DC4331E" w14:textId="77777777" w:rsidR="00C3611E" w:rsidRPr="00F67A3A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F67A3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SIGEP, OPEC, Vacantes, Bienes y Rentas</w:t>
            </w:r>
          </w:p>
        </w:tc>
      </w:tr>
    </w:tbl>
    <w:p w14:paraId="6AD434D6" w14:textId="77777777" w:rsidR="00C3611E" w:rsidRPr="00571217" w:rsidRDefault="00C3611E" w:rsidP="00C3611E">
      <w:pPr>
        <w:jc w:val="both"/>
        <w:rPr>
          <w:rStyle w:val="Textoennegrita"/>
          <w:rFonts w:ascii="Verdana" w:hAnsi="Verdana"/>
          <w:bCs w:val="0"/>
        </w:rPr>
      </w:pPr>
    </w:p>
    <w:p w14:paraId="69FBE7A2" w14:textId="77777777" w:rsidR="00C3611E" w:rsidRPr="001973EC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Style w:val="Textoennegrita"/>
          <w:rFonts w:ascii="Verdana" w:hAnsi="Verdana"/>
          <w:b w:val="0"/>
          <w:bCs w:val="0"/>
        </w:rPr>
      </w:pPr>
      <w:r w:rsidRPr="00571217">
        <w:rPr>
          <w:rStyle w:val="Textoennegrita"/>
          <w:rFonts w:ascii="Verdana" w:hAnsi="Verdana"/>
          <w:bCs w:val="0"/>
        </w:rPr>
        <w:t>INFORMES SEGÚN HECHOS O AUDITORÍAS</w:t>
      </w:r>
    </w:p>
    <w:p w14:paraId="7FF20F49" w14:textId="77777777" w:rsidR="00C3611E" w:rsidRDefault="00C3611E" w:rsidP="00C3611E">
      <w:pPr>
        <w:jc w:val="both"/>
        <w:rPr>
          <w:rStyle w:val="Textoennegrita"/>
          <w:rFonts w:ascii="Verdana" w:hAnsi="Verdana"/>
          <w:b w:val="0"/>
          <w:bCs w:val="0"/>
        </w:rPr>
      </w:pPr>
    </w:p>
    <w:p w14:paraId="044150C5" w14:textId="77777777" w:rsidR="00C3611E" w:rsidRPr="001973EC" w:rsidRDefault="00C3611E" w:rsidP="00C3611E">
      <w:pPr>
        <w:jc w:val="both"/>
        <w:rPr>
          <w:rStyle w:val="Textoennegrita"/>
          <w:rFonts w:ascii="Verdana" w:hAnsi="Verdana"/>
          <w:b w:val="0"/>
          <w:bCs w:val="0"/>
        </w:rPr>
      </w:pPr>
      <w:r w:rsidRPr="001973EC">
        <w:rPr>
          <w:rStyle w:val="Textoennegrita"/>
          <w:rFonts w:ascii="Verdana" w:hAnsi="Verdana"/>
          <w:b w:val="0"/>
          <w:bCs w:val="0"/>
        </w:rPr>
        <w:t>Además de los informes obligatorios por normativa, se consideran aquellos informes derivados de hechos relevantes, situaciones excepcionales o resultados de auditorías anteriores. Estos informes permiten dar seguimiento a observaciones, atender riesgos emergentes y fortalecer los controles institucionales. A continuación, se detallan los principales tipos:</w:t>
      </w:r>
    </w:p>
    <w:p w14:paraId="58C442BF" w14:textId="77777777" w:rsidR="00C3611E" w:rsidRPr="00571217" w:rsidRDefault="00C3611E" w:rsidP="00C3611E">
      <w:pPr>
        <w:pStyle w:val="Prrafodelista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531"/>
        <w:gridCol w:w="1932"/>
        <w:gridCol w:w="1821"/>
        <w:gridCol w:w="2188"/>
      </w:tblGrid>
      <w:tr w:rsidR="00C3611E" w:rsidRPr="00804B92" w14:paraId="17D1C771" w14:textId="77777777" w:rsidTr="00EC12CB">
        <w:trPr>
          <w:trHeight w:val="284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787" w14:textId="77777777" w:rsidR="00C3611E" w:rsidRPr="00804B92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INFORME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46B1" w14:textId="77777777" w:rsidR="00C3611E" w:rsidRPr="00804B92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NORMA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EFDC" w14:textId="77777777" w:rsidR="00C3611E" w:rsidRPr="00804B92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FRECUENCIA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92A2" w14:textId="77777777" w:rsidR="00C3611E" w:rsidRPr="00804B92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CONDICIÓN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DCF" w14:textId="77777777" w:rsidR="00C3611E" w:rsidRPr="00804B92" w:rsidRDefault="00C3611E" w:rsidP="00EC12C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s-CO"/>
              </w:rPr>
              <w:t>OBSERVACIÓN</w:t>
            </w:r>
          </w:p>
        </w:tc>
      </w:tr>
      <w:tr w:rsidR="00C3611E" w:rsidRPr="00804B92" w14:paraId="7E668FDB" w14:textId="77777777" w:rsidTr="00EC12CB">
        <w:trPr>
          <w:trHeight w:val="284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FA56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Posibles Actos de Corrupción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F99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1474/2011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722C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Según hechos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9E9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 reporta si se evidencian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716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Uso del formato de la Directiva Presidencial 01/2015</w:t>
            </w:r>
          </w:p>
        </w:tc>
      </w:tr>
      <w:tr w:rsidR="00C3611E" w:rsidRPr="00804B92" w14:paraId="1AC05269" w14:textId="77777777" w:rsidTr="00EC12CB">
        <w:trPr>
          <w:trHeight w:val="284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AEBB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SACI – Sistema de Alertas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49B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D. 403/2020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4FF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Según hechos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9B0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Riesgos sobre recursos públicos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609E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Soportes jurídicos y evidencias requeridas</w:t>
            </w:r>
          </w:p>
        </w:tc>
      </w:tr>
      <w:tr w:rsidR="00C3611E" w:rsidRPr="00804B92" w14:paraId="32A70244" w14:textId="77777777" w:rsidTr="00EC12CB">
        <w:trPr>
          <w:trHeight w:val="284"/>
        </w:trPr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4C8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Atención de PQRSD (específico)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72A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Ley 1474/2011 Art. 76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F6D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Según auditoría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41EA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Solo si hay hallazgos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AC7C" w14:textId="77777777" w:rsidR="00C3611E" w:rsidRPr="00804B92" w:rsidRDefault="00C3611E" w:rsidP="00EC12C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804B9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t>Dirigido a Representante Legal / Presidencia / Entes de Control</w:t>
            </w:r>
          </w:p>
        </w:tc>
      </w:tr>
    </w:tbl>
    <w:p w14:paraId="4C0EAFDD" w14:textId="77777777" w:rsidR="00C3611E" w:rsidRPr="00571217" w:rsidRDefault="00C3611E" w:rsidP="00C3611E">
      <w:pPr>
        <w:jc w:val="both"/>
        <w:rPr>
          <w:rFonts w:ascii="Verdana" w:hAnsi="Verdana"/>
          <w:sz w:val="22"/>
          <w:szCs w:val="22"/>
        </w:rPr>
      </w:pPr>
    </w:p>
    <w:p w14:paraId="6A7D7DDC" w14:textId="77777777" w:rsidR="00C3611E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INFORMACIÓN REQUERIDA PARA INFORMES</w:t>
      </w:r>
    </w:p>
    <w:p w14:paraId="6B52532F" w14:textId="77777777" w:rsidR="00C3611E" w:rsidRPr="00571217" w:rsidRDefault="00C3611E" w:rsidP="00C3611E">
      <w:pPr>
        <w:pStyle w:val="Prrafodelista"/>
        <w:jc w:val="both"/>
        <w:rPr>
          <w:rFonts w:ascii="Verdana" w:hAnsi="Verdana"/>
          <w:b/>
          <w:bCs/>
        </w:rPr>
      </w:pPr>
    </w:p>
    <w:p w14:paraId="504E325A" w14:textId="1BD4CC5F" w:rsidR="00C3611E" w:rsidRDefault="00C3611E" w:rsidP="00C3611E">
      <w:pPr>
        <w:jc w:val="both"/>
        <w:rPr>
          <w:rFonts w:ascii="Verdana" w:hAnsi="Verdana"/>
        </w:rPr>
      </w:pPr>
      <w:r w:rsidRPr="0015254E">
        <w:rPr>
          <w:rFonts w:ascii="Verdana" w:hAnsi="Verdana"/>
        </w:rPr>
        <w:t>Una vez asignado el profesional responsable de la elaboración del informe, este procederá a solicitar la información correspondiente al proceso involucrado y desarrollará el informe de ley</w:t>
      </w:r>
      <w:r w:rsidR="00D44633">
        <w:rPr>
          <w:rFonts w:ascii="Verdana" w:hAnsi="Verdana"/>
        </w:rPr>
        <w:t>,</w:t>
      </w:r>
      <w:r w:rsidRPr="0015254E">
        <w:rPr>
          <w:rFonts w:ascii="Verdana" w:hAnsi="Verdana"/>
        </w:rPr>
        <w:t xml:space="preserve"> conforme al procedimiento “Informes de Ley y de Seguimiento” (PRO-GES-121-001). El desarrollo del procedimiento se llevará a cabo conforme </w:t>
      </w:r>
      <w:r w:rsidR="00D44633">
        <w:rPr>
          <w:rFonts w:ascii="Verdana" w:hAnsi="Verdana"/>
        </w:rPr>
        <w:t xml:space="preserve">con </w:t>
      </w:r>
      <w:r w:rsidRPr="0015254E">
        <w:rPr>
          <w:rFonts w:ascii="Verdana" w:hAnsi="Verdana"/>
        </w:rPr>
        <w:t>las siguientes etapas:</w:t>
      </w:r>
    </w:p>
    <w:p w14:paraId="62EE7F55" w14:textId="77777777" w:rsidR="00C3611E" w:rsidRPr="0015254E" w:rsidRDefault="00C3611E" w:rsidP="00C3611E">
      <w:pPr>
        <w:spacing w:line="276" w:lineRule="auto"/>
        <w:jc w:val="both"/>
        <w:rPr>
          <w:rFonts w:ascii="Verdana" w:hAnsi="Verdana"/>
        </w:rPr>
      </w:pPr>
    </w:p>
    <w:p w14:paraId="7297DB82" w14:textId="77777777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Se verifica la periodicidad del informe, de acuerdo con lo establecido en el presente instructivo y en el Plan Anual de Auditorías (PAA).</w:t>
      </w:r>
    </w:p>
    <w:p w14:paraId="46CCFF31" w14:textId="69B0C393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lastRenderedPageBreak/>
        <w:t>Se solicita, mediante memorando (FOR-GDO-330-010)</w:t>
      </w:r>
      <w:r w:rsidR="00702840">
        <w:rPr>
          <w:rFonts w:ascii="Verdana" w:hAnsi="Verdana"/>
        </w:rPr>
        <w:t xml:space="preserve"> o gestor documental</w:t>
      </w:r>
      <w:r w:rsidRPr="00571217">
        <w:rPr>
          <w:rFonts w:ascii="Verdana" w:hAnsi="Verdana"/>
        </w:rPr>
        <w:t xml:space="preserve"> y correo electrónico</w:t>
      </w:r>
      <w:r w:rsidRPr="0015254E">
        <w:rPr>
          <w:rFonts w:ascii="Verdana" w:hAnsi="Verdana"/>
        </w:rPr>
        <w:t>, la información requerida al proceso responsable de su generación.</w:t>
      </w:r>
    </w:p>
    <w:p w14:paraId="4166C31B" w14:textId="77777777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Se analiza la información recibida y, en caso de requerirse, se gestionan los ajustes necesarios.</w:t>
      </w:r>
    </w:p>
    <w:p w14:paraId="1E57C784" w14:textId="77777777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Se elabora el informe de ley conforme a los lineamientos establecidos en la normatividad vigente</w:t>
      </w:r>
      <w:r w:rsidRPr="00571217">
        <w:rPr>
          <w:rFonts w:ascii="Verdana" w:hAnsi="Verdana"/>
        </w:rPr>
        <w:t xml:space="preserve"> en el formato “Informes de Auditoría de Gestión y de Seguimiento” (FOR-GEM-110-009)</w:t>
      </w:r>
      <w:r w:rsidRPr="0015254E">
        <w:rPr>
          <w:rFonts w:ascii="Verdana" w:hAnsi="Verdana"/>
        </w:rPr>
        <w:t>.</w:t>
      </w:r>
    </w:p>
    <w:p w14:paraId="288DCB3A" w14:textId="77777777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El informe es revisado por el jefe de la Oficina de Control Interno, quien podrá emitir observaciones para su ajuste.</w:t>
      </w:r>
    </w:p>
    <w:p w14:paraId="62BA335B" w14:textId="77777777" w:rsidR="00C3611E" w:rsidRPr="00571217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Una vez aprobado, el informe es suscrito por el jefe de la Oficina de Control Interno.</w:t>
      </w:r>
    </w:p>
    <w:p w14:paraId="69D67F58" w14:textId="47590D8C" w:rsidR="00C3611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C3611E">
        <w:rPr>
          <w:rFonts w:ascii="Verdana" w:hAnsi="Verdana"/>
        </w:rPr>
        <w:t xml:space="preserve">Los informes se radican </w:t>
      </w:r>
      <w:r w:rsidR="0099686C" w:rsidRPr="00C3611E">
        <w:rPr>
          <w:rFonts w:ascii="Verdana" w:hAnsi="Verdana"/>
        </w:rPr>
        <w:t xml:space="preserve">de acuerdo </w:t>
      </w:r>
      <w:r w:rsidR="0099686C">
        <w:rPr>
          <w:rFonts w:ascii="Verdana" w:hAnsi="Verdana"/>
        </w:rPr>
        <w:t>con el</w:t>
      </w:r>
      <w:r w:rsidR="00A9186A">
        <w:rPr>
          <w:rFonts w:ascii="Verdana" w:hAnsi="Verdana"/>
        </w:rPr>
        <w:t xml:space="preserve"> </w:t>
      </w:r>
      <w:r w:rsidR="00A9186A" w:rsidRPr="00A9186A">
        <w:rPr>
          <w:rFonts w:ascii="Verdana" w:hAnsi="Verdana"/>
        </w:rPr>
        <w:t>instructivo de comunicaciones oficiales</w:t>
      </w:r>
      <w:r w:rsidR="00A9186A">
        <w:rPr>
          <w:rFonts w:ascii="Verdana" w:hAnsi="Verdana"/>
        </w:rPr>
        <w:t xml:space="preserve"> (</w:t>
      </w:r>
      <w:r w:rsidR="0099686C" w:rsidRPr="0099686C">
        <w:rPr>
          <w:rFonts w:ascii="Verdana" w:hAnsi="Verdana"/>
        </w:rPr>
        <w:t>INS-GDO-330-002</w:t>
      </w:r>
      <w:r w:rsidR="0099686C">
        <w:rPr>
          <w:rFonts w:ascii="Verdana" w:hAnsi="Verdana"/>
        </w:rPr>
        <w:t>)</w:t>
      </w:r>
      <w:r w:rsidRPr="00C3611E">
        <w:rPr>
          <w:rFonts w:ascii="Verdana" w:hAnsi="Verdana"/>
        </w:rPr>
        <w:t>, cumpliendo con los lineamientos establecidos para su presentación, contenido, plazos y formato requerido</w:t>
      </w:r>
      <w:r>
        <w:rPr>
          <w:rFonts w:ascii="Verdana" w:hAnsi="Verdana"/>
        </w:rPr>
        <w:t>.</w:t>
      </w:r>
    </w:p>
    <w:p w14:paraId="6BB618B9" w14:textId="2A7872BD" w:rsidR="00C3611E" w:rsidRPr="0015254E" w:rsidRDefault="00C3611E" w:rsidP="00C3611E">
      <w:pPr>
        <w:numPr>
          <w:ilvl w:val="0"/>
          <w:numId w:val="11"/>
        </w:numPr>
        <w:tabs>
          <w:tab w:val="clear" w:pos="720"/>
        </w:tabs>
        <w:spacing w:line="276" w:lineRule="auto"/>
        <w:ind w:left="426" w:hanging="284"/>
        <w:jc w:val="both"/>
        <w:rPr>
          <w:rFonts w:ascii="Verdana" w:hAnsi="Verdana"/>
        </w:rPr>
      </w:pPr>
      <w:r w:rsidRPr="0015254E">
        <w:rPr>
          <w:rFonts w:ascii="Verdana" w:hAnsi="Verdana"/>
        </w:rPr>
        <w:t>El informe se comunica y/o publica, según corresponda, en función del tipo de informe de ley.</w:t>
      </w:r>
    </w:p>
    <w:p w14:paraId="43DF681E" w14:textId="77777777" w:rsidR="00C3611E" w:rsidRPr="00571217" w:rsidRDefault="00C3611E" w:rsidP="00C3611E">
      <w:pPr>
        <w:jc w:val="both"/>
        <w:rPr>
          <w:rFonts w:ascii="Verdana" w:hAnsi="Verdana"/>
        </w:rPr>
      </w:pPr>
    </w:p>
    <w:p w14:paraId="6CAA2AED" w14:textId="77777777" w:rsidR="00C3611E" w:rsidRPr="00571217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RECOMENDACIONES FINALES</w:t>
      </w:r>
    </w:p>
    <w:p w14:paraId="573DB2BE" w14:textId="77777777" w:rsidR="00C3611E" w:rsidRPr="00571217" w:rsidRDefault="00C3611E" w:rsidP="00C3611E">
      <w:pPr>
        <w:pStyle w:val="Prrafodelista"/>
        <w:jc w:val="both"/>
        <w:rPr>
          <w:rFonts w:ascii="Verdana" w:hAnsi="Verdana"/>
          <w:b/>
          <w:bCs/>
        </w:rPr>
      </w:pPr>
    </w:p>
    <w:p w14:paraId="74FF0B8C" w14:textId="2E7E1266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 xml:space="preserve">Verificar cambios normativos anualmente (CGR, DAFP, MinTIC, Archivo </w:t>
      </w:r>
      <w:r w:rsidR="00D44633">
        <w:rPr>
          <w:rFonts w:ascii="Verdana" w:hAnsi="Verdana"/>
        </w:rPr>
        <w:t>General de la Nación</w:t>
      </w:r>
      <w:r w:rsidRPr="00571217">
        <w:rPr>
          <w:rFonts w:ascii="Verdana" w:hAnsi="Verdana"/>
        </w:rPr>
        <w:t>, etc.).</w:t>
      </w:r>
    </w:p>
    <w:p w14:paraId="776AE29B" w14:textId="77777777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>Implementar un cronograma interno con alertas para los plazos establecidos.</w:t>
      </w:r>
    </w:p>
    <w:p w14:paraId="5A84521D" w14:textId="3594AEC5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>Usar formatos oficiales y plataformas como SIRECI, CHIP, FURAG, Ekogui según corresponda.</w:t>
      </w:r>
      <w:r w:rsidR="00D44633">
        <w:rPr>
          <w:rFonts w:ascii="Verdana" w:hAnsi="Verdana"/>
        </w:rPr>
        <w:t xml:space="preserve"> </w:t>
      </w:r>
    </w:p>
    <w:p w14:paraId="214EFB7A" w14:textId="77777777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>Coordinar con áreas responsables para consolidar la información técnica.</w:t>
      </w:r>
    </w:p>
    <w:p w14:paraId="6E124219" w14:textId="77777777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>Conservar archivo físico y digital de informes enviados y sus soportes (acuse, código de verificación o pantallazo de envío).</w:t>
      </w:r>
    </w:p>
    <w:p w14:paraId="4D7E9D8F" w14:textId="77777777" w:rsidR="00C3611E" w:rsidRPr="00571217" w:rsidRDefault="00C3611E" w:rsidP="00C3611E">
      <w:pPr>
        <w:pStyle w:val="Prrafodelista"/>
        <w:numPr>
          <w:ilvl w:val="0"/>
          <w:numId w:val="10"/>
        </w:numPr>
        <w:suppressAutoHyphens w:val="0"/>
        <w:autoSpaceDN/>
        <w:spacing w:line="276" w:lineRule="auto"/>
        <w:ind w:left="284" w:hanging="284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</w:rPr>
        <w:t>Realizar capacitación interna periódica sobre el cumplimiento de estos informes.</w:t>
      </w:r>
    </w:p>
    <w:p w14:paraId="0D6F671F" w14:textId="77777777" w:rsidR="00C3611E" w:rsidRPr="00571217" w:rsidRDefault="00C3611E" w:rsidP="00C3611E">
      <w:pPr>
        <w:pStyle w:val="Prrafodelista"/>
        <w:ind w:left="284"/>
        <w:jc w:val="both"/>
        <w:rPr>
          <w:rFonts w:ascii="Verdana" w:hAnsi="Verdana"/>
        </w:rPr>
      </w:pPr>
    </w:p>
    <w:p w14:paraId="05D3C085" w14:textId="77777777" w:rsidR="00C3611E" w:rsidRDefault="00C3611E" w:rsidP="00C3611E">
      <w:pPr>
        <w:pStyle w:val="Prrafodelista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NORMATIVIDAD APLICABLE Y OBLIGATORIEDAD LEGA</w:t>
      </w:r>
      <w:r>
        <w:rPr>
          <w:rFonts w:ascii="Verdana" w:hAnsi="Verdana"/>
          <w:b/>
          <w:bCs/>
        </w:rPr>
        <w:t>L</w:t>
      </w:r>
    </w:p>
    <w:p w14:paraId="278D60E5" w14:textId="77777777" w:rsidR="00C3611E" w:rsidRPr="00571217" w:rsidRDefault="00C3611E" w:rsidP="00C3611E">
      <w:pPr>
        <w:pStyle w:val="Prrafodelista"/>
        <w:jc w:val="both"/>
        <w:rPr>
          <w:rFonts w:ascii="Verdana" w:hAnsi="Verdana"/>
          <w:b/>
          <w:bCs/>
        </w:rPr>
      </w:pPr>
    </w:p>
    <w:p w14:paraId="75CAFBF8" w14:textId="77777777" w:rsidR="00C3611E" w:rsidRDefault="00C3611E" w:rsidP="00C3611E">
      <w:pPr>
        <w:jc w:val="both"/>
        <w:rPr>
          <w:rFonts w:ascii="Verdana" w:hAnsi="Verdana"/>
        </w:rPr>
      </w:pPr>
      <w:r w:rsidRPr="00571217">
        <w:rPr>
          <w:rFonts w:ascii="Verdana" w:hAnsi="Verdana"/>
        </w:rPr>
        <w:t>El cumplimiento y la presentación oportuna de los informes de ley por parte de la Oficina de Control Interno y demás dependencias responsables es de carácter obligatorio y se fundamenta en el marco normativo vigente, el cual establece expresamente las obligaciones legales de reporte, rendición de cuentas, seguimiento y control institucional. A continuación, se detallan las principales normas que sustentan esta obligatoriedad:</w:t>
      </w:r>
    </w:p>
    <w:p w14:paraId="07313D94" w14:textId="77777777" w:rsidR="00C3611E" w:rsidRDefault="00C3611E" w:rsidP="00C3611E">
      <w:pPr>
        <w:jc w:val="both"/>
        <w:rPr>
          <w:rFonts w:ascii="Verdana" w:hAnsi="Verdana"/>
        </w:rPr>
      </w:pPr>
    </w:p>
    <w:p w14:paraId="526FA41A" w14:textId="77777777" w:rsidR="009275A6" w:rsidRDefault="009275A6" w:rsidP="00C3611E">
      <w:pPr>
        <w:jc w:val="both"/>
        <w:rPr>
          <w:rFonts w:ascii="Verdana" w:hAnsi="Verdana"/>
        </w:rPr>
      </w:pPr>
    </w:p>
    <w:p w14:paraId="6E6567A3" w14:textId="77777777" w:rsidR="009275A6" w:rsidRDefault="009275A6" w:rsidP="00C3611E">
      <w:pPr>
        <w:jc w:val="both"/>
        <w:rPr>
          <w:rFonts w:ascii="Verdana" w:hAnsi="Verdana"/>
        </w:rPr>
      </w:pPr>
    </w:p>
    <w:p w14:paraId="67D1A688" w14:textId="77777777" w:rsidR="009275A6" w:rsidRPr="00571217" w:rsidRDefault="009275A6" w:rsidP="00C3611E">
      <w:pPr>
        <w:jc w:val="both"/>
        <w:rPr>
          <w:rFonts w:ascii="Verdana" w:hAnsi="Verdana"/>
        </w:rPr>
      </w:pPr>
    </w:p>
    <w:p w14:paraId="0713FA36" w14:textId="77777777" w:rsidR="00C3611E" w:rsidRDefault="00C3611E" w:rsidP="00C3611E">
      <w:pPr>
        <w:pStyle w:val="Prrafodelista"/>
        <w:numPr>
          <w:ilvl w:val="1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C73EBD">
        <w:rPr>
          <w:rFonts w:ascii="Verdana" w:hAnsi="Verdana"/>
          <w:b/>
          <w:bCs/>
        </w:rPr>
        <w:lastRenderedPageBreak/>
        <w:t>Normas Generales que Imponen Obligaciones de Reporte</w:t>
      </w:r>
      <w:r>
        <w:rPr>
          <w:rFonts w:ascii="Verdana" w:hAnsi="Verdana"/>
          <w:b/>
          <w:bCs/>
        </w:rPr>
        <w:t>:</w:t>
      </w:r>
    </w:p>
    <w:p w14:paraId="247299DF" w14:textId="77777777" w:rsidR="00C3611E" w:rsidRDefault="00C3611E" w:rsidP="00C3611E">
      <w:pPr>
        <w:pStyle w:val="Prrafodelista"/>
        <w:ind w:left="1080"/>
        <w:jc w:val="both"/>
        <w:rPr>
          <w:rFonts w:ascii="Verdana" w:hAnsi="Verdana"/>
          <w:b/>
          <w:bCs/>
        </w:rPr>
      </w:pPr>
    </w:p>
    <w:p w14:paraId="5B85D8F3" w14:textId="77777777" w:rsidR="00C3611E" w:rsidRDefault="00C3611E" w:rsidP="00C3611E">
      <w:pPr>
        <w:pStyle w:val="Prrafodelista"/>
        <w:numPr>
          <w:ilvl w:val="0"/>
          <w:numId w:val="15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C73EBD">
        <w:rPr>
          <w:rFonts w:ascii="Verdana" w:hAnsi="Verdana"/>
          <w:b/>
          <w:bCs/>
        </w:rPr>
        <w:t>Ley 1474 de 2011 (Estatuto Anticorrupción)</w:t>
      </w:r>
      <w:r w:rsidRPr="00C73EBD">
        <w:rPr>
          <w:rFonts w:ascii="Verdana" w:hAnsi="Verdana"/>
        </w:rPr>
        <w:t>: Obliga a las entidades públicas a implementar y evaluar sistemas de control interno, a presentar informes de evaluación, y a divulgar planes anticorrupción y de atención al ciudadano.</w:t>
      </w:r>
    </w:p>
    <w:p w14:paraId="38E0D36B" w14:textId="77777777" w:rsidR="00C3611E" w:rsidRPr="007A1A8B" w:rsidRDefault="00C3611E" w:rsidP="00C3611E">
      <w:pPr>
        <w:pStyle w:val="Prrafodelista"/>
        <w:numPr>
          <w:ilvl w:val="0"/>
          <w:numId w:val="15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C73EBD">
        <w:rPr>
          <w:rFonts w:ascii="Verdana" w:hAnsi="Verdana"/>
          <w:b/>
          <w:bCs/>
        </w:rPr>
        <w:t>Ley 1474 de 2011 (Estatuto Anticorrupción)</w:t>
      </w:r>
      <w:r w:rsidRPr="00C73EBD">
        <w:rPr>
          <w:rFonts w:ascii="Verdana" w:hAnsi="Verdana"/>
        </w:rPr>
        <w:t xml:space="preserve">: </w:t>
      </w:r>
      <w:r w:rsidRPr="007A1A8B">
        <w:rPr>
          <w:rFonts w:ascii="Verdana" w:hAnsi="Verdana"/>
        </w:rPr>
        <w:t>Artículo 76 impone la atención y seguimiento a las PQRSD y auditorías.</w:t>
      </w:r>
    </w:p>
    <w:p w14:paraId="241B945A" w14:textId="77777777" w:rsidR="00C3611E" w:rsidRPr="005D2861" w:rsidRDefault="00C3611E" w:rsidP="00C3611E">
      <w:pPr>
        <w:pStyle w:val="Prrafodelista"/>
        <w:jc w:val="both"/>
        <w:rPr>
          <w:rFonts w:ascii="Verdana" w:hAnsi="Verdana"/>
        </w:rPr>
      </w:pPr>
    </w:p>
    <w:p w14:paraId="51170A6D" w14:textId="77777777" w:rsidR="00C3611E" w:rsidRPr="005D2861" w:rsidRDefault="00C3611E" w:rsidP="00C3611E">
      <w:pPr>
        <w:pStyle w:val="Prrafodelista"/>
        <w:numPr>
          <w:ilvl w:val="0"/>
          <w:numId w:val="1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Ley 909 de 2004</w:t>
      </w:r>
      <w:r w:rsidRPr="005D2861"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Impone la obligación de reportar procesos de selección por mérito, estructura organizacional, vacantes, evaluaciones institucionales y transparencia en el empleo público.</w:t>
      </w:r>
    </w:p>
    <w:p w14:paraId="7BF7C73E" w14:textId="77777777" w:rsidR="00C3611E" w:rsidRPr="005D2861" w:rsidRDefault="00C3611E" w:rsidP="00C3611E">
      <w:pPr>
        <w:pStyle w:val="Prrafodelista"/>
        <w:numPr>
          <w:ilvl w:val="0"/>
          <w:numId w:val="1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D2861">
        <w:rPr>
          <w:rFonts w:ascii="Verdana" w:hAnsi="Verdana"/>
          <w:b/>
          <w:bCs/>
        </w:rPr>
        <w:t xml:space="preserve">Ley 2020 de 2020: </w:t>
      </w:r>
      <w:r w:rsidRPr="005D2861">
        <w:rPr>
          <w:rFonts w:ascii="Verdana" w:hAnsi="Verdana"/>
        </w:rPr>
        <w:t>Establece la obligatoriedad del reporte mensual de obras inconclusas por parte de las entidades públicas responsables de inversión en infraestructura.</w:t>
      </w:r>
    </w:p>
    <w:p w14:paraId="6BA398F2" w14:textId="77777777" w:rsidR="00C3611E" w:rsidRPr="005D2861" w:rsidRDefault="00C3611E" w:rsidP="00C3611E">
      <w:pPr>
        <w:pStyle w:val="Prrafodelista"/>
        <w:numPr>
          <w:ilvl w:val="0"/>
          <w:numId w:val="1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D2861">
        <w:rPr>
          <w:rFonts w:ascii="Verdana" w:hAnsi="Verdana"/>
          <w:b/>
          <w:bCs/>
        </w:rPr>
        <w:t>Ley 1712 de 2014 (Ley de Transparencia): O</w:t>
      </w:r>
      <w:r w:rsidRPr="005D2861">
        <w:rPr>
          <w:rFonts w:ascii="Verdana" w:hAnsi="Verdana"/>
        </w:rPr>
        <w:t>bliga a garantizar el acceso a la información pública, incluyendo informes de gestión y reportes institucionales, con criterios de accesibilidad web.</w:t>
      </w:r>
    </w:p>
    <w:p w14:paraId="7E2F6CD4" w14:textId="77777777" w:rsidR="00C3611E" w:rsidRDefault="00C3611E" w:rsidP="00C3611E">
      <w:pPr>
        <w:pStyle w:val="Prrafodelista"/>
        <w:numPr>
          <w:ilvl w:val="0"/>
          <w:numId w:val="12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D2861">
        <w:rPr>
          <w:rFonts w:ascii="Verdana" w:hAnsi="Verdana"/>
          <w:b/>
          <w:bCs/>
        </w:rPr>
        <w:t xml:space="preserve">Ley 2195 de 2022: </w:t>
      </w:r>
      <w:r w:rsidRPr="005D2861">
        <w:rPr>
          <w:rFonts w:ascii="Verdana" w:hAnsi="Verdana"/>
        </w:rPr>
        <w:t>Refuerza el deber de las entidades públicas de implementar Programas de Transparencia y Ética Pública y de reportar riesgos de corrupción.</w:t>
      </w:r>
    </w:p>
    <w:p w14:paraId="7C6EF706" w14:textId="77777777" w:rsidR="00C3611E" w:rsidRPr="005D2861" w:rsidRDefault="00C3611E" w:rsidP="00C3611E">
      <w:pPr>
        <w:pStyle w:val="Prrafodelista"/>
        <w:jc w:val="both"/>
        <w:rPr>
          <w:rFonts w:ascii="Verdana" w:hAnsi="Verdana"/>
        </w:rPr>
      </w:pPr>
    </w:p>
    <w:p w14:paraId="4807A4AE" w14:textId="77777777" w:rsidR="00C3611E" w:rsidRDefault="00C3611E" w:rsidP="00C3611E">
      <w:pPr>
        <w:pStyle w:val="Prrafodelista"/>
        <w:numPr>
          <w:ilvl w:val="1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Decretos Reglamentarios y Disposiciones Técnicas</w:t>
      </w:r>
      <w:r>
        <w:rPr>
          <w:rFonts w:ascii="Verdana" w:hAnsi="Verdana"/>
          <w:b/>
          <w:bCs/>
        </w:rPr>
        <w:t>:</w:t>
      </w:r>
    </w:p>
    <w:p w14:paraId="684578A8" w14:textId="77777777" w:rsidR="00C3611E" w:rsidRPr="00571217" w:rsidRDefault="00C3611E" w:rsidP="00C3611E">
      <w:pPr>
        <w:pStyle w:val="Prrafodelista"/>
        <w:spacing w:line="276" w:lineRule="auto"/>
        <w:ind w:left="1080"/>
        <w:contextualSpacing/>
        <w:jc w:val="both"/>
        <w:rPr>
          <w:rFonts w:ascii="Verdana" w:hAnsi="Verdana"/>
          <w:b/>
          <w:bCs/>
        </w:rPr>
      </w:pPr>
    </w:p>
    <w:p w14:paraId="4C32AFE1" w14:textId="77777777" w:rsidR="00C3611E" w:rsidRPr="005D2861" w:rsidRDefault="00C3611E" w:rsidP="00C3611E">
      <w:pPr>
        <w:pStyle w:val="Prrafodelista"/>
        <w:numPr>
          <w:ilvl w:val="0"/>
          <w:numId w:val="16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D2861">
        <w:rPr>
          <w:rFonts w:ascii="Verdana" w:hAnsi="Verdana"/>
          <w:b/>
          <w:bCs/>
        </w:rPr>
        <w:t xml:space="preserve">Decreto 1083 de 2015: </w:t>
      </w:r>
      <w:r w:rsidRPr="005D2861">
        <w:rPr>
          <w:rFonts w:ascii="Verdana" w:hAnsi="Verdana"/>
        </w:rPr>
        <w:t>Define el uso del FURAG como instrumento obligatorio de medición del desempeño institucional ante el DAFP.</w:t>
      </w:r>
    </w:p>
    <w:p w14:paraId="4F922553" w14:textId="77777777" w:rsidR="00C3611E" w:rsidRPr="005D2861" w:rsidRDefault="00C3611E" w:rsidP="00C3611E">
      <w:pPr>
        <w:pStyle w:val="Prrafodelista"/>
        <w:numPr>
          <w:ilvl w:val="0"/>
          <w:numId w:val="16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D2861">
        <w:rPr>
          <w:rFonts w:ascii="Verdana" w:hAnsi="Verdana"/>
          <w:b/>
          <w:bCs/>
        </w:rPr>
        <w:t xml:space="preserve">Decreto 124 de 2016: </w:t>
      </w:r>
      <w:r w:rsidRPr="005D2861">
        <w:rPr>
          <w:rFonts w:ascii="Verdana" w:hAnsi="Verdana"/>
        </w:rPr>
        <w:t>Regula la adopción, seguimiento y reporte del Plan Anticorrupción y de Atención al Ciudadano (PAAC).</w:t>
      </w:r>
    </w:p>
    <w:p w14:paraId="34AED225" w14:textId="77777777" w:rsidR="00C3611E" w:rsidRPr="005D2861" w:rsidRDefault="00C3611E" w:rsidP="00C3611E">
      <w:pPr>
        <w:pStyle w:val="Prrafodelista"/>
        <w:numPr>
          <w:ilvl w:val="0"/>
          <w:numId w:val="1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Decreto 1068 de 2015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Establece obligaciones en materia de austeridad en el gasto y uso eficiente de los recursos públicos.</w:t>
      </w:r>
    </w:p>
    <w:p w14:paraId="31C0ABFC" w14:textId="77777777" w:rsidR="00C3611E" w:rsidRPr="005D2861" w:rsidRDefault="00C3611E" w:rsidP="00C3611E">
      <w:pPr>
        <w:pStyle w:val="Prrafodelista"/>
        <w:numPr>
          <w:ilvl w:val="0"/>
          <w:numId w:val="1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Decreto 1069 de 2015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Reglamenta el reporte semestral en la herramienta Ekogui a la Agencia Nacional de Defensa Jurídica del Estado.</w:t>
      </w:r>
    </w:p>
    <w:p w14:paraId="4792B485" w14:textId="77777777" w:rsidR="00C3611E" w:rsidRPr="005D2861" w:rsidRDefault="00C3611E" w:rsidP="00C3611E">
      <w:pPr>
        <w:pStyle w:val="Prrafodelista"/>
        <w:numPr>
          <w:ilvl w:val="0"/>
          <w:numId w:val="1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Decreto 2106 de 2019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Modifica la periodicidad de algunos informes del sistema de control interno e impone su publicación institucional.</w:t>
      </w:r>
    </w:p>
    <w:p w14:paraId="62242137" w14:textId="77777777" w:rsidR="00C3611E" w:rsidRPr="005D2861" w:rsidRDefault="00C3611E" w:rsidP="00C3611E">
      <w:pPr>
        <w:pStyle w:val="Prrafodelista"/>
        <w:numPr>
          <w:ilvl w:val="0"/>
          <w:numId w:val="1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Decreto 1122 de 2024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Reglamenta la Ley 2195/2022 sobre ética pública y transparencia, reforzando los informes cuatrimestrales de seguimiento.</w:t>
      </w:r>
    </w:p>
    <w:p w14:paraId="1F1B1F16" w14:textId="77777777" w:rsidR="00C3611E" w:rsidRPr="005D2861" w:rsidRDefault="00C3611E" w:rsidP="00C3611E">
      <w:pPr>
        <w:pStyle w:val="Prrafodelista"/>
        <w:numPr>
          <w:ilvl w:val="0"/>
          <w:numId w:val="1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Decreto 403 de 2020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Obliga a reportar alertas sobre posibles riesgos de corrupción a través del Sistema SACI.</w:t>
      </w:r>
    </w:p>
    <w:p w14:paraId="6E845C3E" w14:textId="77777777" w:rsidR="00C3611E" w:rsidRDefault="00C3611E" w:rsidP="00C3611E">
      <w:pPr>
        <w:pStyle w:val="Prrafodelista"/>
        <w:ind w:left="284"/>
        <w:jc w:val="both"/>
        <w:rPr>
          <w:rFonts w:ascii="Verdana" w:hAnsi="Verdana"/>
          <w:b/>
          <w:bCs/>
        </w:rPr>
      </w:pPr>
    </w:p>
    <w:p w14:paraId="66D39AC7" w14:textId="77777777" w:rsidR="00C3611E" w:rsidRDefault="00C3611E" w:rsidP="00C3611E">
      <w:pPr>
        <w:pStyle w:val="Prrafodelista"/>
        <w:numPr>
          <w:ilvl w:val="1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Resoluciones y Circulares de Cumplimiento Obligatorio</w:t>
      </w:r>
      <w:r>
        <w:rPr>
          <w:rFonts w:ascii="Verdana" w:hAnsi="Verdana"/>
          <w:b/>
          <w:bCs/>
        </w:rPr>
        <w:t>:</w:t>
      </w:r>
    </w:p>
    <w:p w14:paraId="5EE59FA1" w14:textId="77777777" w:rsidR="00C3611E" w:rsidRPr="00571217" w:rsidRDefault="00C3611E" w:rsidP="00C3611E">
      <w:pPr>
        <w:pStyle w:val="Prrafodelista"/>
        <w:spacing w:line="276" w:lineRule="auto"/>
        <w:ind w:left="1080"/>
        <w:contextualSpacing/>
        <w:jc w:val="both"/>
        <w:rPr>
          <w:rFonts w:ascii="Verdana" w:hAnsi="Verdana"/>
          <w:b/>
          <w:bCs/>
        </w:rPr>
      </w:pPr>
    </w:p>
    <w:p w14:paraId="2A29CD70" w14:textId="77777777" w:rsidR="00C3611E" w:rsidRPr="005D2861" w:rsidRDefault="00C3611E" w:rsidP="00C3611E">
      <w:pPr>
        <w:pStyle w:val="Prrafodelista"/>
        <w:numPr>
          <w:ilvl w:val="0"/>
          <w:numId w:val="1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Resolución 0042 de 2020 – CGR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Reglamenta la rendición de cuentas, los informes en SIRECI, planes de mejoramiento institucional y la evaluación del control interno contable.</w:t>
      </w:r>
    </w:p>
    <w:p w14:paraId="20BB1562" w14:textId="77777777" w:rsidR="00C3611E" w:rsidRPr="005D2861" w:rsidRDefault="00C3611E" w:rsidP="00C3611E">
      <w:pPr>
        <w:pStyle w:val="Prrafodelista"/>
        <w:numPr>
          <w:ilvl w:val="0"/>
          <w:numId w:val="1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lastRenderedPageBreak/>
        <w:t>Circular Externa 015 de 2020 – CGR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Establece directrices para el seguimiento a hallazgos y planes de mejoramiento derivados de auditorías.</w:t>
      </w:r>
    </w:p>
    <w:p w14:paraId="44302652" w14:textId="77777777" w:rsidR="00C3611E" w:rsidRPr="005D2861" w:rsidRDefault="00C3611E" w:rsidP="00C3611E">
      <w:pPr>
        <w:pStyle w:val="Prrafodelista"/>
        <w:numPr>
          <w:ilvl w:val="0"/>
          <w:numId w:val="1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Resolución 706 de 2016 – Contaduría General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Define lineamientos y plazos para la elaboración del informe anual de control interno contable a través del sistema CHIP.</w:t>
      </w:r>
    </w:p>
    <w:p w14:paraId="063AE9D7" w14:textId="77777777" w:rsidR="00C3611E" w:rsidRPr="005D2861" w:rsidRDefault="00C3611E" w:rsidP="00C3611E">
      <w:pPr>
        <w:pStyle w:val="Prrafodelista"/>
        <w:numPr>
          <w:ilvl w:val="0"/>
          <w:numId w:val="1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</w:rPr>
      </w:pPr>
      <w:r w:rsidRPr="00571217">
        <w:rPr>
          <w:rFonts w:ascii="Verdana" w:hAnsi="Verdana"/>
          <w:b/>
          <w:bCs/>
        </w:rPr>
        <w:t>Directiva Presidencial 01 de 2015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Obliga a reportar posibles actos de corrupción detectados durante el ejercicio del control interno.</w:t>
      </w:r>
    </w:p>
    <w:p w14:paraId="1D298C9D" w14:textId="77777777" w:rsidR="00C3611E" w:rsidRPr="005D2861" w:rsidRDefault="00C3611E" w:rsidP="00C3611E">
      <w:pPr>
        <w:pStyle w:val="Prrafodelista"/>
        <w:numPr>
          <w:ilvl w:val="0"/>
          <w:numId w:val="14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71217">
        <w:rPr>
          <w:rFonts w:ascii="Verdana" w:hAnsi="Verdana"/>
          <w:b/>
          <w:bCs/>
        </w:rPr>
        <w:t>Directiva Presidencial 02 de 2002</w:t>
      </w:r>
      <w:r>
        <w:rPr>
          <w:rFonts w:ascii="Verdana" w:hAnsi="Verdana"/>
          <w:b/>
          <w:bCs/>
        </w:rPr>
        <w:t xml:space="preserve">: </w:t>
      </w:r>
      <w:r w:rsidRPr="005D2861">
        <w:rPr>
          <w:rFonts w:ascii="Verdana" w:hAnsi="Verdana"/>
        </w:rPr>
        <w:t>Establece el deber de reportar derechos de autor de software institucional ante la DNDA.</w:t>
      </w:r>
    </w:p>
    <w:p w14:paraId="5E041CA7" w14:textId="77777777" w:rsidR="00C3611E" w:rsidRDefault="00C3611E" w:rsidP="00C3611E">
      <w:pPr>
        <w:pStyle w:val="Prrafodelista"/>
        <w:jc w:val="both"/>
        <w:rPr>
          <w:rFonts w:ascii="Verdana" w:hAnsi="Verdana"/>
          <w:b/>
          <w:bCs/>
        </w:rPr>
      </w:pPr>
    </w:p>
    <w:p w14:paraId="5ECC26A8" w14:textId="77777777" w:rsidR="00C3611E" w:rsidRDefault="00C3611E" w:rsidP="00C3611E">
      <w:pPr>
        <w:pStyle w:val="Prrafodelista"/>
        <w:numPr>
          <w:ilvl w:val="1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5D2861">
        <w:rPr>
          <w:rFonts w:ascii="Verdana" w:hAnsi="Verdana"/>
          <w:b/>
          <w:bCs/>
        </w:rPr>
        <w:t>Cumplimiento Institucional</w:t>
      </w:r>
      <w:r>
        <w:rPr>
          <w:rFonts w:ascii="Verdana" w:hAnsi="Verdana"/>
          <w:b/>
          <w:bCs/>
        </w:rPr>
        <w:t>:</w:t>
      </w:r>
    </w:p>
    <w:p w14:paraId="58F3DBC3" w14:textId="77777777" w:rsidR="00C3611E" w:rsidRPr="005D2861" w:rsidRDefault="00C3611E" w:rsidP="00C3611E">
      <w:pPr>
        <w:pStyle w:val="Prrafodelista"/>
        <w:ind w:left="1080"/>
        <w:jc w:val="both"/>
        <w:rPr>
          <w:rFonts w:ascii="Verdana" w:hAnsi="Verdana"/>
          <w:b/>
          <w:bCs/>
        </w:rPr>
      </w:pPr>
    </w:p>
    <w:p w14:paraId="1E42B4CA" w14:textId="77777777" w:rsidR="00C3611E" w:rsidRDefault="00C3611E" w:rsidP="00C3611E">
      <w:pPr>
        <w:pStyle w:val="Prrafodelista"/>
        <w:spacing w:line="276" w:lineRule="auto"/>
        <w:ind w:left="284"/>
        <w:contextualSpacing/>
        <w:jc w:val="both"/>
        <w:rPr>
          <w:rFonts w:ascii="Verdana" w:hAnsi="Verdana"/>
        </w:rPr>
      </w:pPr>
      <w:r w:rsidRPr="00571217">
        <w:rPr>
          <w:rFonts w:ascii="Verdana" w:hAnsi="Verdana"/>
        </w:rPr>
        <w:t>El incumplimiento en la entrega oportuna y completa de los informes establecidos en este instructivo podrá generar responsabilidades administrativas, fiscales o disciplinarias para los servidores públicos involucrados, conforme a lo establecido en el ordenamiento jurídico colombiano y las competencias de los entes de control como la Contraloría General de la República, la Procuraduría General de la Nación y el DAFP.</w:t>
      </w:r>
    </w:p>
    <w:p w14:paraId="698CEEC8" w14:textId="77777777" w:rsidR="00105D14" w:rsidRDefault="00105D14" w:rsidP="00105D14">
      <w:pPr>
        <w:jc w:val="both"/>
        <w:rPr>
          <w:rFonts w:ascii="Verdana" w:hAnsi="Verdana"/>
          <w:b/>
          <w:bCs/>
        </w:rPr>
      </w:pPr>
    </w:p>
    <w:p w14:paraId="2585AC62" w14:textId="0A1F99EE" w:rsidR="005079FE" w:rsidRDefault="00105D14" w:rsidP="00105D14">
      <w:pPr>
        <w:pStyle w:val="Prrafodelista"/>
        <w:numPr>
          <w:ilvl w:val="0"/>
          <w:numId w:val="9"/>
        </w:numPr>
        <w:jc w:val="both"/>
        <w:rPr>
          <w:rFonts w:ascii="Verdana" w:hAnsi="Verdana"/>
          <w:b/>
          <w:bCs/>
        </w:rPr>
      </w:pPr>
      <w:r w:rsidRPr="00105D14">
        <w:rPr>
          <w:rFonts w:ascii="Verdana" w:hAnsi="Verdana"/>
          <w:b/>
          <w:bCs/>
        </w:rPr>
        <w:t xml:space="preserve">INCLUSIÓN EN </w:t>
      </w:r>
      <w:r>
        <w:rPr>
          <w:rFonts w:ascii="Verdana" w:hAnsi="Verdana"/>
          <w:b/>
          <w:bCs/>
        </w:rPr>
        <w:t>EL FORMATO</w:t>
      </w:r>
      <w:r w:rsidRPr="00105D14">
        <w:rPr>
          <w:rFonts w:ascii="Verdana" w:hAnsi="Verdana"/>
          <w:b/>
          <w:bCs/>
        </w:rPr>
        <w:t xml:space="preserve"> </w:t>
      </w:r>
      <w:r w:rsidR="00FF1B10" w:rsidRPr="00FF1B10">
        <w:rPr>
          <w:rFonts w:ascii="Verdana" w:hAnsi="Verdana"/>
          <w:b/>
          <w:bCs/>
        </w:rPr>
        <w:t>LISTA DE VERIFICACIÓN PLAN ANUAL DE AUDITORÍAS (PAA)</w:t>
      </w:r>
      <w:r>
        <w:rPr>
          <w:rFonts w:ascii="Verdana" w:hAnsi="Verdana"/>
          <w:b/>
          <w:bCs/>
        </w:rPr>
        <w:t xml:space="preserve"> (</w:t>
      </w:r>
      <w:r w:rsidR="00BF54FD">
        <w:rPr>
          <w:rFonts w:ascii="Verdana" w:hAnsi="Verdana"/>
          <w:b/>
          <w:bCs/>
        </w:rPr>
        <w:t>FOR-GES-110-029</w:t>
      </w:r>
      <w:r>
        <w:rPr>
          <w:rFonts w:ascii="Verdana" w:hAnsi="Verdana"/>
          <w:b/>
          <w:bCs/>
        </w:rPr>
        <w:t>)</w:t>
      </w:r>
    </w:p>
    <w:p w14:paraId="7C456B42" w14:textId="77777777" w:rsidR="00105D14" w:rsidRPr="00105D14" w:rsidRDefault="00105D14" w:rsidP="00105D14">
      <w:pPr>
        <w:pStyle w:val="Prrafodelista"/>
        <w:jc w:val="both"/>
        <w:rPr>
          <w:rFonts w:ascii="Verdana" w:hAnsi="Verdana"/>
          <w:b/>
          <w:bCs/>
        </w:rPr>
      </w:pPr>
    </w:p>
    <w:p w14:paraId="39E71EFA" w14:textId="029B8079" w:rsidR="00105D14" w:rsidRDefault="00D148EE" w:rsidP="00105D14">
      <w:pPr>
        <w:contextualSpacing/>
        <w:jc w:val="both"/>
        <w:rPr>
          <w:rFonts w:ascii="Verdana" w:hAnsi="Verdana"/>
        </w:rPr>
      </w:pPr>
      <w:r w:rsidRPr="00D148EE">
        <w:rPr>
          <w:rFonts w:ascii="Verdana" w:hAnsi="Verdana"/>
        </w:rPr>
        <w:t xml:space="preserve">Una vez el informe haya sido radicado, comunicado y/o publicado, deberá ser incorporado en el formato </w:t>
      </w:r>
      <w:r w:rsidR="00FF1B10">
        <w:rPr>
          <w:rFonts w:ascii="Verdana" w:hAnsi="Verdana"/>
        </w:rPr>
        <w:t>L</w:t>
      </w:r>
      <w:r w:rsidR="00FF1B10" w:rsidRPr="00FF1B10">
        <w:rPr>
          <w:rFonts w:ascii="Verdana" w:hAnsi="Verdana"/>
        </w:rPr>
        <w:t>ista de verificación plan anual de auditorías (PAA)</w:t>
      </w:r>
      <w:r w:rsidR="00FF1B10">
        <w:rPr>
          <w:rFonts w:ascii="Verdana" w:hAnsi="Verdana"/>
        </w:rPr>
        <w:t xml:space="preserve"> </w:t>
      </w:r>
      <w:r w:rsidR="00C42278">
        <w:rPr>
          <w:rFonts w:ascii="Verdana" w:hAnsi="Verdana"/>
        </w:rPr>
        <w:t>(</w:t>
      </w:r>
      <w:r w:rsidR="00FF1B10" w:rsidRPr="00FF1B10">
        <w:rPr>
          <w:rFonts w:ascii="Verdana" w:hAnsi="Verdana"/>
        </w:rPr>
        <w:t>FOR-GES-110-029</w:t>
      </w:r>
      <w:r w:rsidR="00C42278">
        <w:rPr>
          <w:rFonts w:ascii="Verdana" w:hAnsi="Verdana"/>
        </w:rPr>
        <w:t>)</w:t>
      </w:r>
      <w:r w:rsidRPr="00D148EE">
        <w:rPr>
          <w:rFonts w:ascii="Verdana" w:hAnsi="Verdana"/>
        </w:rPr>
        <w:t xml:space="preserve"> administrado por la Oficina de Control Interno. Esta acción se establece como punto de control obligatorio para asegurar el seguimiento oportuno y el cumplimiento de los compromisos establecidos en dicho informe, conforme a los lineamientos institucionales y a los criterios definidos en el Plan Anual de Auditorías (PAA).</w:t>
      </w:r>
    </w:p>
    <w:p w14:paraId="50AC2920" w14:textId="77777777" w:rsidR="00D148EE" w:rsidRDefault="00D148EE" w:rsidP="00105D14">
      <w:pPr>
        <w:contextualSpacing/>
        <w:jc w:val="both"/>
        <w:rPr>
          <w:rFonts w:ascii="Verdana" w:hAnsi="Verdana"/>
          <w:b/>
        </w:rPr>
      </w:pPr>
    </w:p>
    <w:p w14:paraId="2F3837B5" w14:textId="60C1C277" w:rsidR="00C3611E" w:rsidRPr="00105D14" w:rsidRDefault="00C3611E" w:rsidP="00105D14">
      <w:pPr>
        <w:pStyle w:val="Prrafodelista"/>
        <w:numPr>
          <w:ilvl w:val="0"/>
          <w:numId w:val="9"/>
        </w:numPr>
        <w:contextualSpacing/>
        <w:jc w:val="both"/>
        <w:rPr>
          <w:rFonts w:ascii="Verdana" w:eastAsia="Times New Roman" w:hAnsi="Verdana" w:cs="Times New Roman"/>
          <w:b/>
          <w:bCs/>
        </w:rPr>
      </w:pPr>
      <w:r w:rsidRPr="00105D14">
        <w:rPr>
          <w:rFonts w:ascii="Verdana" w:hAnsi="Verdana"/>
          <w:b/>
        </w:rPr>
        <w:t>DISPOSICIONES FINALES</w:t>
      </w:r>
    </w:p>
    <w:p w14:paraId="1ABDE53C" w14:textId="77777777" w:rsidR="00C3611E" w:rsidRDefault="00C3611E" w:rsidP="00C3611E">
      <w:pPr>
        <w:jc w:val="both"/>
        <w:rPr>
          <w:rFonts w:ascii="Verdana" w:eastAsia="Times New Roman" w:hAnsi="Verdana" w:cs="Times New Roman"/>
          <w:lang w:eastAsia="es-CO"/>
        </w:rPr>
      </w:pPr>
    </w:p>
    <w:p w14:paraId="5F768CD2" w14:textId="5C87F318" w:rsidR="001359AE" w:rsidRPr="009275A6" w:rsidRDefault="00C3611E" w:rsidP="009275A6">
      <w:pPr>
        <w:jc w:val="both"/>
        <w:rPr>
          <w:rFonts w:ascii="Verdana" w:hAnsi="Verdana"/>
          <w:sz w:val="22"/>
          <w:szCs w:val="22"/>
        </w:rPr>
      </w:pPr>
      <w:r w:rsidRPr="00571217">
        <w:rPr>
          <w:rFonts w:ascii="Verdana" w:eastAsia="Times New Roman" w:hAnsi="Verdana" w:cs="Times New Roman"/>
          <w:sz w:val="22"/>
          <w:szCs w:val="22"/>
          <w:lang w:eastAsia="es-CO"/>
        </w:rPr>
        <w:t>Este instructivo deberá revisarse y actualizarse anualmente, o cuando cambie el marco normativo aplicable.</w:t>
      </w:r>
    </w:p>
    <w:sectPr w:rsidR="001359AE" w:rsidRPr="009275A6" w:rsidSect="009275A6">
      <w:headerReference w:type="default" r:id="rId8"/>
      <w:footerReference w:type="default" r:id="rId9"/>
      <w:pgSz w:w="12240" w:h="18720" w:code="14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A99D" w14:textId="77777777" w:rsidR="00440FB0" w:rsidRDefault="00440FB0" w:rsidP="008B51F5">
      <w:r>
        <w:separator/>
      </w:r>
    </w:p>
  </w:endnote>
  <w:endnote w:type="continuationSeparator" w:id="0">
    <w:p w14:paraId="07A7CEE1" w14:textId="77777777" w:rsidR="00440FB0" w:rsidRDefault="00440FB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39B71C5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05101B" w:rsidRPr="0005101B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INS-GES-110-002</w:t>
                          </w:r>
                        </w:p>
                        <w:p w14:paraId="0A6EE982" w14:textId="28A3EBD7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5101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21/05/2025</w:t>
                          </w:r>
                        </w:p>
                        <w:p w14:paraId="5C00C4CA" w14:textId="5CD62353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05101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339B71C5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05101B" w:rsidRPr="0005101B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INS-GES-110-002</w:t>
                    </w:r>
                  </w:p>
                  <w:p w14:paraId="0A6EE982" w14:textId="28A3EBD7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5101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21/05/2025</w:t>
                    </w:r>
                  </w:p>
                  <w:p w14:paraId="5C00C4CA" w14:textId="5CD62353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05101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73D6" w14:textId="77777777" w:rsidR="00440FB0" w:rsidRDefault="00440FB0" w:rsidP="008B51F5">
      <w:r>
        <w:separator/>
      </w:r>
    </w:p>
  </w:footnote>
  <w:footnote w:type="continuationSeparator" w:id="0">
    <w:p w14:paraId="3ABC9CF0" w14:textId="77777777" w:rsidR="00440FB0" w:rsidRDefault="00440FB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B46FF91" w:rsidR="006D1FE4" w:rsidRDefault="009275A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C4AEF1D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248275" cy="4095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CF00D" w14:textId="0A11A2B3" w:rsidR="00C3611E" w:rsidRPr="00461E94" w:rsidRDefault="00C3611E" w:rsidP="00C3611E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61E94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INSTRUCTIVO GENERAL PARA LA PRESENTACIÓN DE INFORMES</w:t>
                          </w:r>
                          <w:r w:rsidR="000164F2" w:rsidRPr="00461E94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 xml:space="preserve"> DE LEY - </w:t>
                          </w:r>
                          <w:r w:rsidRPr="00461E94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OFICINA DE CONTROL INTERNO</w:t>
                          </w:r>
                        </w:p>
                        <w:p w14:paraId="4C487CB3" w14:textId="77777777" w:rsidR="009275A6" w:rsidRPr="00461E94" w:rsidRDefault="009275A6" w:rsidP="00C3611E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F1FEAC5" w14:textId="4490E948" w:rsidR="000F5FD1" w:rsidRPr="00461E94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7.95pt;width:413.25pt;height:32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CQdQIAAGU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" fillcolor="white [3201]" stroked="f" strokeweight=".5pt">
              <v:textbox>
                <w:txbxContent>
                  <w:p w14:paraId="1DCCF00D" w14:textId="0A11A2B3" w:rsidR="00C3611E" w:rsidRPr="00461E94" w:rsidRDefault="00C3611E" w:rsidP="00C3611E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461E94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INSTRUCTIVO GENERAL PARA LA PRESENTACIÓN DE INFORMES</w:t>
                    </w:r>
                    <w:r w:rsidR="000164F2" w:rsidRPr="00461E94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 xml:space="preserve"> DE LEY - </w:t>
                    </w:r>
                    <w:r w:rsidRPr="00461E94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OFICINA DE CONTROL INTERNO</w:t>
                    </w:r>
                  </w:p>
                  <w:p w14:paraId="4C487CB3" w14:textId="77777777" w:rsidR="009275A6" w:rsidRPr="00461E94" w:rsidRDefault="009275A6" w:rsidP="00C3611E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7F1FEAC5" w14:textId="4490E948" w:rsidR="000F5FD1" w:rsidRPr="00461E94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36BF12F5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D62"/>
    <w:multiLevelType w:val="hybridMultilevel"/>
    <w:tmpl w:val="828E1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416"/>
    <w:multiLevelType w:val="multilevel"/>
    <w:tmpl w:val="C6D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Verdana" w:eastAsiaTheme="minorEastAsia" w:hAnsi="Verdan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3845"/>
    <w:multiLevelType w:val="multilevel"/>
    <w:tmpl w:val="FDCC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B2D4F"/>
    <w:multiLevelType w:val="multilevel"/>
    <w:tmpl w:val="F13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1" w15:restartNumberingAfterBreak="0">
    <w:nsid w:val="5D415A39"/>
    <w:multiLevelType w:val="multilevel"/>
    <w:tmpl w:val="F13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70419"/>
    <w:multiLevelType w:val="multilevel"/>
    <w:tmpl w:val="FD5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eastAsiaTheme="minorHAnsi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15275"/>
    <w:multiLevelType w:val="multilevel"/>
    <w:tmpl w:val="EFB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B177E"/>
    <w:multiLevelType w:val="multilevel"/>
    <w:tmpl w:val="7F625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932159537">
    <w:abstractNumId w:val="13"/>
  </w:num>
  <w:num w:numId="2" w16cid:durableId="1219324076">
    <w:abstractNumId w:val="4"/>
  </w:num>
  <w:num w:numId="3" w16cid:durableId="1366441573">
    <w:abstractNumId w:val="3"/>
  </w:num>
  <w:num w:numId="4" w16cid:durableId="627780245">
    <w:abstractNumId w:val="10"/>
  </w:num>
  <w:num w:numId="5" w16cid:durableId="447815945">
    <w:abstractNumId w:val="8"/>
  </w:num>
  <w:num w:numId="6" w16cid:durableId="106236328">
    <w:abstractNumId w:val="6"/>
  </w:num>
  <w:num w:numId="7" w16cid:durableId="1792555845">
    <w:abstractNumId w:val="7"/>
  </w:num>
  <w:num w:numId="8" w16cid:durableId="1030686149">
    <w:abstractNumId w:val="9"/>
  </w:num>
  <w:num w:numId="9" w16cid:durableId="1217353681">
    <w:abstractNumId w:val="15"/>
  </w:num>
  <w:num w:numId="10" w16cid:durableId="127866821">
    <w:abstractNumId w:val="0"/>
  </w:num>
  <w:num w:numId="11" w16cid:durableId="271863832">
    <w:abstractNumId w:val="14"/>
  </w:num>
  <w:num w:numId="12" w16cid:durableId="1970092459">
    <w:abstractNumId w:val="11"/>
  </w:num>
  <w:num w:numId="13" w16cid:durableId="1082145441">
    <w:abstractNumId w:val="2"/>
  </w:num>
  <w:num w:numId="14" w16cid:durableId="620962635">
    <w:abstractNumId w:val="12"/>
  </w:num>
  <w:num w:numId="15" w16cid:durableId="1450510666">
    <w:abstractNumId w:val="1"/>
  </w:num>
  <w:num w:numId="16" w16cid:durableId="39015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64F2"/>
    <w:rsid w:val="0005101B"/>
    <w:rsid w:val="00071F65"/>
    <w:rsid w:val="000C329A"/>
    <w:rsid w:val="000F5FD1"/>
    <w:rsid w:val="00105D14"/>
    <w:rsid w:val="00110245"/>
    <w:rsid w:val="00115C16"/>
    <w:rsid w:val="001359AE"/>
    <w:rsid w:val="00137E8A"/>
    <w:rsid w:val="001D7CFC"/>
    <w:rsid w:val="001E4D5E"/>
    <w:rsid w:val="001F1E8E"/>
    <w:rsid w:val="002149E0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40FB0"/>
    <w:rsid w:val="00453C12"/>
    <w:rsid w:val="00461E94"/>
    <w:rsid w:val="004641D3"/>
    <w:rsid w:val="004723EA"/>
    <w:rsid w:val="00485A6C"/>
    <w:rsid w:val="0048742D"/>
    <w:rsid w:val="00497B5D"/>
    <w:rsid w:val="004A7B69"/>
    <w:rsid w:val="004C6193"/>
    <w:rsid w:val="00502E6B"/>
    <w:rsid w:val="005079FE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864"/>
    <w:rsid w:val="006A0D58"/>
    <w:rsid w:val="006C2ED6"/>
    <w:rsid w:val="006D1FE4"/>
    <w:rsid w:val="006D4BAB"/>
    <w:rsid w:val="006E2693"/>
    <w:rsid w:val="00702840"/>
    <w:rsid w:val="00740CD4"/>
    <w:rsid w:val="00752BBC"/>
    <w:rsid w:val="007B7197"/>
    <w:rsid w:val="007F02DE"/>
    <w:rsid w:val="00871BD4"/>
    <w:rsid w:val="008A795A"/>
    <w:rsid w:val="008B3812"/>
    <w:rsid w:val="008B51F5"/>
    <w:rsid w:val="008D0C22"/>
    <w:rsid w:val="00901B26"/>
    <w:rsid w:val="009275A6"/>
    <w:rsid w:val="00950324"/>
    <w:rsid w:val="009821FB"/>
    <w:rsid w:val="00986A9E"/>
    <w:rsid w:val="0099686C"/>
    <w:rsid w:val="00A2048E"/>
    <w:rsid w:val="00A30CF1"/>
    <w:rsid w:val="00A50418"/>
    <w:rsid w:val="00A74A6B"/>
    <w:rsid w:val="00A74B90"/>
    <w:rsid w:val="00A75278"/>
    <w:rsid w:val="00A9186A"/>
    <w:rsid w:val="00AA3F20"/>
    <w:rsid w:val="00AF746E"/>
    <w:rsid w:val="00B42D45"/>
    <w:rsid w:val="00B663D7"/>
    <w:rsid w:val="00B8588F"/>
    <w:rsid w:val="00B91859"/>
    <w:rsid w:val="00BE670D"/>
    <w:rsid w:val="00BF513B"/>
    <w:rsid w:val="00BF54FD"/>
    <w:rsid w:val="00C01A6A"/>
    <w:rsid w:val="00C3611E"/>
    <w:rsid w:val="00C40277"/>
    <w:rsid w:val="00C42278"/>
    <w:rsid w:val="00C876D6"/>
    <w:rsid w:val="00C96E05"/>
    <w:rsid w:val="00C96E6E"/>
    <w:rsid w:val="00D148EE"/>
    <w:rsid w:val="00D1639C"/>
    <w:rsid w:val="00D217DE"/>
    <w:rsid w:val="00D218F3"/>
    <w:rsid w:val="00D22316"/>
    <w:rsid w:val="00D2621A"/>
    <w:rsid w:val="00D44633"/>
    <w:rsid w:val="00D66431"/>
    <w:rsid w:val="00D71437"/>
    <w:rsid w:val="00D83FF3"/>
    <w:rsid w:val="00D840C6"/>
    <w:rsid w:val="00DB5EEB"/>
    <w:rsid w:val="00DC6110"/>
    <w:rsid w:val="00DD784F"/>
    <w:rsid w:val="00DE3E38"/>
    <w:rsid w:val="00DE4DE2"/>
    <w:rsid w:val="00DE630B"/>
    <w:rsid w:val="00DF26F3"/>
    <w:rsid w:val="00E1130F"/>
    <w:rsid w:val="00E62C73"/>
    <w:rsid w:val="00E87B21"/>
    <w:rsid w:val="00E91D4B"/>
    <w:rsid w:val="00EA2436"/>
    <w:rsid w:val="00EE469B"/>
    <w:rsid w:val="00F21F19"/>
    <w:rsid w:val="00F62BC0"/>
    <w:rsid w:val="00FD125F"/>
    <w:rsid w:val="00FD466B"/>
    <w:rsid w:val="00FE1FE8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46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46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46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6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1619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10</cp:revision>
  <cp:lastPrinted>2023-06-29T15:02:00Z</cp:lastPrinted>
  <dcterms:created xsi:type="dcterms:W3CDTF">2025-05-21T16:19:00Z</dcterms:created>
  <dcterms:modified xsi:type="dcterms:W3CDTF">2025-05-21T17:48:00Z</dcterms:modified>
</cp:coreProperties>
</file>