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D1B73" w14:textId="77777777" w:rsidR="00B67AED" w:rsidRPr="005D32DD" w:rsidRDefault="00B67AED" w:rsidP="00B67AED">
      <w:pPr>
        <w:keepNext/>
        <w:keepLines/>
        <w:spacing w:before="480"/>
        <w:jc w:val="center"/>
        <w:rPr>
          <w:rFonts w:ascii="Verdana" w:hAnsi="Verdana" w:cstheme="minorHAnsi"/>
          <w:b/>
          <w:bCs/>
          <w:sz w:val="22"/>
          <w:szCs w:val="22"/>
          <w:lang w:val="es-ES"/>
        </w:rPr>
      </w:pPr>
      <w:r w:rsidRPr="005D32DD">
        <w:rPr>
          <w:rFonts w:ascii="Verdana" w:hAnsi="Verdana" w:cstheme="minorHAnsi"/>
          <w:b/>
          <w:bCs/>
          <w:sz w:val="22"/>
          <w:szCs w:val="22"/>
          <w:lang w:val="es-ES"/>
        </w:rPr>
        <w:t>TABLA DE CONTENIDO</w:t>
      </w:r>
    </w:p>
    <w:p w14:paraId="48830AC1" w14:textId="77777777"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r w:rsidRPr="005D32DD">
        <w:rPr>
          <w:rFonts w:ascii="Verdana" w:hAnsi="Verdana" w:cstheme="minorHAnsi"/>
          <w:sz w:val="22"/>
          <w:szCs w:val="22"/>
          <w:lang w:eastAsia="en-US"/>
        </w:rPr>
        <w:fldChar w:fldCharType="begin"/>
      </w:r>
      <w:r w:rsidRPr="005D32DD">
        <w:rPr>
          <w:rFonts w:ascii="Verdana" w:hAnsi="Verdana" w:cstheme="minorHAnsi"/>
          <w:sz w:val="22"/>
          <w:szCs w:val="22"/>
          <w:lang w:eastAsia="en-US"/>
        </w:rPr>
        <w:instrText xml:space="preserve"> TOC \o "1-3" \h \z \u </w:instrText>
      </w:r>
      <w:r w:rsidRPr="005D32DD">
        <w:rPr>
          <w:rFonts w:ascii="Verdana" w:hAnsi="Verdana" w:cstheme="minorHAnsi"/>
          <w:sz w:val="22"/>
          <w:szCs w:val="22"/>
          <w:lang w:eastAsia="en-US"/>
        </w:rPr>
        <w:fldChar w:fldCharType="separate"/>
      </w:r>
      <w:hyperlink w:anchor="_Toc147830393" w:history="1">
        <w:r w:rsidRPr="005D32DD">
          <w:rPr>
            <w:rStyle w:val="Hipervnculo"/>
            <w:rFonts w:ascii="Verdana" w:eastAsiaTheme="majorEastAsia" w:hAnsi="Verdana" w:cstheme="minorHAnsi"/>
            <w:b/>
            <w:bCs/>
            <w:noProof/>
            <w:kern w:val="32"/>
            <w:sz w:val="22"/>
            <w:szCs w:val="22"/>
            <w:lang w:eastAsia="en-US"/>
          </w:rPr>
          <w:t>1.</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kern w:val="32"/>
            <w:sz w:val="22"/>
            <w:szCs w:val="22"/>
            <w:lang w:eastAsia="en-US"/>
          </w:rPr>
          <w:t>INTRODUCCIÓN</w:t>
        </w:r>
        <w:r w:rsidRPr="005D32DD">
          <w:rPr>
            <w:rFonts w:ascii="Verdana" w:hAnsi="Verdana"/>
            <w:noProof/>
            <w:webHidden/>
            <w:sz w:val="22"/>
            <w:szCs w:val="22"/>
          </w:rPr>
          <w:tab/>
        </w:r>
        <w:r w:rsidRPr="005D32DD">
          <w:rPr>
            <w:rFonts w:ascii="Verdana" w:hAnsi="Verdana"/>
            <w:noProof/>
            <w:webHidden/>
            <w:sz w:val="22"/>
            <w:szCs w:val="22"/>
          </w:rPr>
          <w:fldChar w:fldCharType="begin"/>
        </w:r>
        <w:r w:rsidRPr="005D32DD">
          <w:rPr>
            <w:rFonts w:ascii="Verdana" w:hAnsi="Verdana"/>
            <w:noProof/>
            <w:webHidden/>
            <w:sz w:val="22"/>
            <w:szCs w:val="22"/>
          </w:rPr>
          <w:instrText xml:space="preserve"> PAGEREF _Toc147830393 \h </w:instrText>
        </w:r>
        <w:r w:rsidRPr="005D32DD">
          <w:rPr>
            <w:rFonts w:ascii="Verdana" w:hAnsi="Verdana"/>
            <w:noProof/>
            <w:webHidden/>
            <w:sz w:val="22"/>
            <w:szCs w:val="22"/>
          </w:rPr>
        </w:r>
        <w:r w:rsidRPr="005D32DD">
          <w:rPr>
            <w:rFonts w:ascii="Verdana" w:hAnsi="Verdana"/>
            <w:noProof/>
            <w:webHidden/>
            <w:sz w:val="22"/>
            <w:szCs w:val="22"/>
          </w:rPr>
          <w:fldChar w:fldCharType="separate"/>
        </w:r>
        <w:r w:rsidRPr="005D32DD">
          <w:rPr>
            <w:rFonts w:ascii="Verdana" w:hAnsi="Verdana"/>
            <w:noProof/>
            <w:webHidden/>
            <w:sz w:val="22"/>
            <w:szCs w:val="22"/>
          </w:rPr>
          <w:t>2</w:t>
        </w:r>
        <w:r w:rsidRPr="005D32DD">
          <w:rPr>
            <w:rFonts w:ascii="Verdana" w:hAnsi="Verdana"/>
            <w:noProof/>
            <w:webHidden/>
            <w:sz w:val="22"/>
            <w:szCs w:val="22"/>
          </w:rPr>
          <w:fldChar w:fldCharType="end"/>
        </w:r>
      </w:hyperlink>
    </w:p>
    <w:p w14:paraId="6640713E" w14:textId="77777777"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4" w:history="1">
        <w:r w:rsidRPr="005D32DD">
          <w:rPr>
            <w:rStyle w:val="Hipervnculo"/>
            <w:rFonts w:ascii="Verdana" w:eastAsiaTheme="majorEastAsia" w:hAnsi="Verdana" w:cstheme="minorHAnsi"/>
            <w:b/>
            <w:bCs/>
            <w:noProof/>
            <w:kern w:val="32"/>
            <w:sz w:val="22"/>
            <w:szCs w:val="22"/>
            <w:lang w:eastAsia="en-US"/>
          </w:rPr>
          <w:t>2.</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kern w:val="32"/>
            <w:sz w:val="22"/>
            <w:szCs w:val="22"/>
            <w:lang w:eastAsia="en-US"/>
          </w:rPr>
          <w:t>OBJETIVO GENERAL</w:t>
        </w:r>
        <w:r w:rsidRPr="005D32DD">
          <w:rPr>
            <w:rFonts w:ascii="Verdana" w:hAnsi="Verdana"/>
            <w:noProof/>
            <w:webHidden/>
            <w:sz w:val="22"/>
            <w:szCs w:val="22"/>
          </w:rPr>
          <w:tab/>
        </w:r>
        <w:r w:rsidRPr="005D32DD">
          <w:rPr>
            <w:rFonts w:ascii="Verdana" w:hAnsi="Verdana"/>
            <w:noProof/>
            <w:webHidden/>
            <w:sz w:val="22"/>
            <w:szCs w:val="22"/>
          </w:rPr>
          <w:fldChar w:fldCharType="begin"/>
        </w:r>
        <w:r w:rsidRPr="005D32DD">
          <w:rPr>
            <w:rFonts w:ascii="Verdana" w:hAnsi="Verdana"/>
            <w:noProof/>
            <w:webHidden/>
            <w:sz w:val="22"/>
            <w:szCs w:val="22"/>
          </w:rPr>
          <w:instrText xml:space="preserve"> PAGEREF _Toc147830394 \h </w:instrText>
        </w:r>
        <w:r w:rsidRPr="005D32DD">
          <w:rPr>
            <w:rFonts w:ascii="Verdana" w:hAnsi="Verdana"/>
            <w:noProof/>
            <w:webHidden/>
            <w:sz w:val="22"/>
            <w:szCs w:val="22"/>
          </w:rPr>
        </w:r>
        <w:r w:rsidRPr="005D32DD">
          <w:rPr>
            <w:rFonts w:ascii="Verdana" w:hAnsi="Verdana"/>
            <w:noProof/>
            <w:webHidden/>
            <w:sz w:val="22"/>
            <w:szCs w:val="22"/>
          </w:rPr>
          <w:fldChar w:fldCharType="separate"/>
        </w:r>
        <w:r w:rsidRPr="005D32DD">
          <w:rPr>
            <w:rFonts w:ascii="Verdana" w:hAnsi="Verdana"/>
            <w:noProof/>
            <w:webHidden/>
            <w:sz w:val="22"/>
            <w:szCs w:val="22"/>
          </w:rPr>
          <w:t>3</w:t>
        </w:r>
        <w:r w:rsidRPr="005D32DD">
          <w:rPr>
            <w:rFonts w:ascii="Verdana" w:hAnsi="Verdana"/>
            <w:noProof/>
            <w:webHidden/>
            <w:sz w:val="22"/>
            <w:szCs w:val="22"/>
          </w:rPr>
          <w:fldChar w:fldCharType="end"/>
        </w:r>
      </w:hyperlink>
    </w:p>
    <w:p w14:paraId="51453D46" w14:textId="77777777"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5" w:history="1">
        <w:r w:rsidRPr="005D32DD">
          <w:rPr>
            <w:rStyle w:val="Hipervnculo"/>
            <w:rFonts w:ascii="Verdana" w:eastAsiaTheme="majorEastAsia" w:hAnsi="Verdana" w:cstheme="minorHAnsi"/>
            <w:b/>
            <w:bCs/>
            <w:noProof/>
            <w:kern w:val="32"/>
            <w:sz w:val="22"/>
            <w:szCs w:val="22"/>
            <w:lang w:eastAsia="en-US"/>
          </w:rPr>
          <w:t>3.</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kern w:val="32"/>
            <w:sz w:val="22"/>
            <w:szCs w:val="22"/>
            <w:lang w:eastAsia="en-US"/>
          </w:rPr>
          <w:t>NORMATIVIDAD</w:t>
        </w:r>
        <w:r w:rsidRPr="005D32DD">
          <w:rPr>
            <w:rFonts w:ascii="Verdana" w:hAnsi="Verdana"/>
            <w:noProof/>
            <w:webHidden/>
            <w:sz w:val="22"/>
            <w:szCs w:val="22"/>
          </w:rPr>
          <w:tab/>
        </w:r>
        <w:r w:rsidRPr="005D32DD">
          <w:rPr>
            <w:rFonts w:ascii="Verdana" w:hAnsi="Verdana"/>
            <w:noProof/>
            <w:webHidden/>
            <w:sz w:val="22"/>
            <w:szCs w:val="22"/>
          </w:rPr>
          <w:fldChar w:fldCharType="begin"/>
        </w:r>
        <w:r w:rsidRPr="005D32DD">
          <w:rPr>
            <w:rFonts w:ascii="Verdana" w:hAnsi="Verdana"/>
            <w:noProof/>
            <w:webHidden/>
            <w:sz w:val="22"/>
            <w:szCs w:val="22"/>
          </w:rPr>
          <w:instrText xml:space="preserve"> PAGEREF _Toc147830395 \h </w:instrText>
        </w:r>
        <w:r w:rsidRPr="005D32DD">
          <w:rPr>
            <w:rFonts w:ascii="Verdana" w:hAnsi="Verdana"/>
            <w:noProof/>
            <w:webHidden/>
            <w:sz w:val="22"/>
            <w:szCs w:val="22"/>
          </w:rPr>
        </w:r>
        <w:r w:rsidRPr="005D32DD">
          <w:rPr>
            <w:rFonts w:ascii="Verdana" w:hAnsi="Verdana"/>
            <w:noProof/>
            <w:webHidden/>
            <w:sz w:val="22"/>
            <w:szCs w:val="22"/>
          </w:rPr>
          <w:fldChar w:fldCharType="separate"/>
        </w:r>
        <w:r w:rsidRPr="005D32DD">
          <w:rPr>
            <w:rFonts w:ascii="Verdana" w:hAnsi="Verdana"/>
            <w:noProof/>
            <w:webHidden/>
            <w:sz w:val="22"/>
            <w:szCs w:val="22"/>
          </w:rPr>
          <w:t>3</w:t>
        </w:r>
        <w:r w:rsidRPr="005D32DD">
          <w:rPr>
            <w:rFonts w:ascii="Verdana" w:hAnsi="Verdana"/>
            <w:noProof/>
            <w:webHidden/>
            <w:sz w:val="22"/>
            <w:szCs w:val="22"/>
          </w:rPr>
          <w:fldChar w:fldCharType="end"/>
        </w:r>
      </w:hyperlink>
    </w:p>
    <w:p w14:paraId="684C99E4" w14:textId="77777777"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6" w:history="1">
        <w:r w:rsidRPr="005D32DD">
          <w:rPr>
            <w:rStyle w:val="Hipervnculo"/>
            <w:rFonts w:ascii="Verdana" w:eastAsiaTheme="majorEastAsia" w:hAnsi="Verdana" w:cstheme="minorHAnsi"/>
            <w:b/>
            <w:bCs/>
            <w:noProof/>
            <w:kern w:val="32"/>
            <w:sz w:val="22"/>
            <w:szCs w:val="22"/>
            <w:lang w:eastAsia="en-US"/>
          </w:rPr>
          <w:t>4.</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kern w:val="32"/>
            <w:sz w:val="22"/>
            <w:szCs w:val="22"/>
            <w:lang w:eastAsia="en-US"/>
          </w:rPr>
          <w:t>ALCANCE</w:t>
        </w:r>
        <w:r w:rsidRPr="005D32DD">
          <w:rPr>
            <w:rFonts w:ascii="Verdana" w:hAnsi="Verdana"/>
            <w:noProof/>
            <w:webHidden/>
            <w:sz w:val="22"/>
            <w:szCs w:val="22"/>
          </w:rPr>
          <w:tab/>
        </w:r>
        <w:r w:rsidRPr="005D32DD">
          <w:rPr>
            <w:rFonts w:ascii="Verdana" w:hAnsi="Verdana"/>
            <w:noProof/>
            <w:webHidden/>
            <w:sz w:val="22"/>
            <w:szCs w:val="22"/>
          </w:rPr>
          <w:fldChar w:fldCharType="begin"/>
        </w:r>
        <w:r w:rsidRPr="005D32DD">
          <w:rPr>
            <w:rFonts w:ascii="Verdana" w:hAnsi="Verdana"/>
            <w:noProof/>
            <w:webHidden/>
            <w:sz w:val="22"/>
            <w:szCs w:val="22"/>
          </w:rPr>
          <w:instrText xml:space="preserve"> PAGEREF _Toc147830396 \h </w:instrText>
        </w:r>
        <w:r w:rsidRPr="005D32DD">
          <w:rPr>
            <w:rFonts w:ascii="Verdana" w:hAnsi="Verdana"/>
            <w:noProof/>
            <w:webHidden/>
            <w:sz w:val="22"/>
            <w:szCs w:val="22"/>
          </w:rPr>
        </w:r>
        <w:r w:rsidRPr="005D32DD">
          <w:rPr>
            <w:rFonts w:ascii="Verdana" w:hAnsi="Verdana"/>
            <w:noProof/>
            <w:webHidden/>
            <w:sz w:val="22"/>
            <w:szCs w:val="22"/>
          </w:rPr>
          <w:fldChar w:fldCharType="separate"/>
        </w:r>
        <w:r w:rsidRPr="005D32DD">
          <w:rPr>
            <w:rFonts w:ascii="Verdana" w:hAnsi="Verdana"/>
            <w:noProof/>
            <w:webHidden/>
            <w:sz w:val="22"/>
            <w:szCs w:val="22"/>
          </w:rPr>
          <w:t>3</w:t>
        </w:r>
        <w:r w:rsidRPr="005D32DD">
          <w:rPr>
            <w:rFonts w:ascii="Verdana" w:hAnsi="Verdana"/>
            <w:noProof/>
            <w:webHidden/>
            <w:sz w:val="22"/>
            <w:szCs w:val="22"/>
          </w:rPr>
          <w:fldChar w:fldCharType="end"/>
        </w:r>
      </w:hyperlink>
    </w:p>
    <w:p w14:paraId="5DB8BC82" w14:textId="77777777"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7" w:history="1">
        <w:r w:rsidRPr="005D32DD">
          <w:rPr>
            <w:rStyle w:val="Hipervnculo"/>
            <w:rFonts w:ascii="Verdana" w:eastAsiaTheme="majorEastAsia" w:hAnsi="Verdana" w:cstheme="minorHAnsi"/>
            <w:b/>
            <w:bCs/>
            <w:noProof/>
            <w:kern w:val="32"/>
            <w:sz w:val="22"/>
            <w:szCs w:val="22"/>
            <w:lang w:eastAsia="en-US"/>
          </w:rPr>
          <w:t>5.</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kern w:val="32"/>
            <w:sz w:val="22"/>
            <w:szCs w:val="22"/>
            <w:lang w:eastAsia="en-US"/>
          </w:rPr>
          <w:t>CONCEPTOS</w:t>
        </w:r>
        <w:r w:rsidRPr="005D32DD">
          <w:rPr>
            <w:rFonts w:ascii="Verdana" w:hAnsi="Verdana"/>
            <w:noProof/>
            <w:webHidden/>
            <w:sz w:val="22"/>
            <w:szCs w:val="22"/>
          </w:rPr>
          <w:tab/>
        </w:r>
        <w:r w:rsidRPr="005D32DD">
          <w:rPr>
            <w:rFonts w:ascii="Verdana" w:hAnsi="Verdana"/>
            <w:noProof/>
            <w:webHidden/>
            <w:sz w:val="22"/>
            <w:szCs w:val="22"/>
          </w:rPr>
          <w:fldChar w:fldCharType="begin"/>
        </w:r>
        <w:r w:rsidRPr="005D32DD">
          <w:rPr>
            <w:rFonts w:ascii="Verdana" w:hAnsi="Verdana"/>
            <w:noProof/>
            <w:webHidden/>
            <w:sz w:val="22"/>
            <w:szCs w:val="22"/>
          </w:rPr>
          <w:instrText xml:space="preserve"> PAGEREF _Toc147830397 \h </w:instrText>
        </w:r>
        <w:r w:rsidRPr="005D32DD">
          <w:rPr>
            <w:rFonts w:ascii="Verdana" w:hAnsi="Verdana"/>
            <w:noProof/>
            <w:webHidden/>
            <w:sz w:val="22"/>
            <w:szCs w:val="22"/>
          </w:rPr>
        </w:r>
        <w:r w:rsidRPr="005D32DD">
          <w:rPr>
            <w:rFonts w:ascii="Verdana" w:hAnsi="Verdana"/>
            <w:noProof/>
            <w:webHidden/>
            <w:sz w:val="22"/>
            <w:szCs w:val="22"/>
          </w:rPr>
          <w:fldChar w:fldCharType="separate"/>
        </w:r>
        <w:r w:rsidRPr="005D32DD">
          <w:rPr>
            <w:rFonts w:ascii="Verdana" w:hAnsi="Verdana"/>
            <w:noProof/>
            <w:webHidden/>
            <w:sz w:val="22"/>
            <w:szCs w:val="22"/>
          </w:rPr>
          <w:t>3</w:t>
        </w:r>
        <w:r w:rsidRPr="005D32DD">
          <w:rPr>
            <w:rFonts w:ascii="Verdana" w:hAnsi="Verdana"/>
            <w:noProof/>
            <w:webHidden/>
            <w:sz w:val="22"/>
            <w:szCs w:val="22"/>
          </w:rPr>
          <w:fldChar w:fldCharType="end"/>
        </w:r>
      </w:hyperlink>
    </w:p>
    <w:p w14:paraId="1324AAA9" w14:textId="7F003C55"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8" w:history="1">
        <w:r w:rsidRPr="005D32DD">
          <w:rPr>
            <w:rStyle w:val="Hipervnculo"/>
            <w:rFonts w:ascii="Verdana" w:eastAsiaTheme="majorEastAsia" w:hAnsi="Verdana" w:cstheme="minorHAnsi"/>
            <w:b/>
            <w:noProof/>
            <w:sz w:val="22"/>
            <w:szCs w:val="22"/>
            <w:lang w:eastAsia="en-US"/>
          </w:rPr>
          <w:t>6.</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rPr>
          <w:t>RESPONSABLES</w:t>
        </w:r>
        <w:r w:rsidRPr="005D32DD">
          <w:rPr>
            <w:rFonts w:ascii="Verdana" w:hAnsi="Verdana"/>
            <w:noProof/>
            <w:webHidden/>
            <w:sz w:val="22"/>
            <w:szCs w:val="22"/>
          </w:rPr>
          <w:tab/>
        </w:r>
        <w:r w:rsidR="005D32DD">
          <w:rPr>
            <w:rFonts w:ascii="Verdana" w:hAnsi="Verdana"/>
            <w:noProof/>
            <w:webHidden/>
            <w:sz w:val="22"/>
            <w:szCs w:val="22"/>
          </w:rPr>
          <w:t>3</w:t>
        </w:r>
      </w:hyperlink>
    </w:p>
    <w:p w14:paraId="00B3CA4C" w14:textId="6B5D6EAF" w:rsidR="00B67AED" w:rsidRPr="005D32DD" w:rsidRDefault="00B67AED" w:rsidP="00B67AED">
      <w:pPr>
        <w:pStyle w:val="TDC1"/>
        <w:tabs>
          <w:tab w:val="left" w:pos="480"/>
          <w:tab w:val="right" w:leader="dot" w:pos="9345"/>
        </w:tabs>
        <w:rPr>
          <w:rFonts w:ascii="Verdana" w:eastAsiaTheme="minorEastAsia" w:hAnsi="Verdana" w:cstheme="minorBidi"/>
          <w:noProof/>
          <w:sz w:val="22"/>
          <w:szCs w:val="22"/>
          <w:lang w:eastAsia="es-CO"/>
        </w:rPr>
      </w:pPr>
      <w:hyperlink w:anchor="_Toc147830399" w:history="1">
        <w:r w:rsidRPr="005D32DD">
          <w:rPr>
            <w:rStyle w:val="Hipervnculo"/>
            <w:rFonts w:ascii="Verdana" w:eastAsiaTheme="majorEastAsia" w:hAnsi="Verdana" w:cstheme="minorHAnsi"/>
            <w:b/>
            <w:bCs/>
            <w:noProof/>
            <w:sz w:val="22"/>
            <w:szCs w:val="22"/>
            <w:lang w:eastAsia="en-US"/>
          </w:rPr>
          <w:t>7.</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lang w:eastAsia="en-US"/>
          </w:rPr>
          <w:t>RECEPCIÓN DE INFORMACIÓN</w:t>
        </w:r>
        <w:r w:rsidRPr="005D32DD">
          <w:rPr>
            <w:rFonts w:ascii="Verdana" w:hAnsi="Verdana"/>
            <w:noProof/>
            <w:webHidden/>
            <w:sz w:val="22"/>
            <w:szCs w:val="22"/>
          </w:rPr>
          <w:tab/>
        </w:r>
        <w:r w:rsidR="005D32DD">
          <w:rPr>
            <w:rFonts w:ascii="Verdana" w:hAnsi="Verdana"/>
            <w:noProof/>
            <w:webHidden/>
            <w:sz w:val="22"/>
            <w:szCs w:val="22"/>
          </w:rPr>
          <w:t>3</w:t>
        </w:r>
      </w:hyperlink>
    </w:p>
    <w:p w14:paraId="0C64823B" w14:textId="208EF85B" w:rsidR="00B67AED" w:rsidRPr="005D32DD" w:rsidRDefault="00B67AED" w:rsidP="00B67AED">
      <w:pPr>
        <w:pStyle w:val="TDC2"/>
        <w:tabs>
          <w:tab w:val="left" w:pos="880"/>
          <w:tab w:val="right" w:leader="dot" w:pos="9345"/>
        </w:tabs>
        <w:rPr>
          <w:rFonts w:ascii="Verdana" w:eastAsiaTheme="minorEastAsia" w:hAnsi="Verdana" w:cstheme="minorBidi"/>
          <w:noProof/>
          <w:sz w:val="22"/>
          <w:szCs w:val="22"/>
          <w:lang w:eastAsia="es-CO"/>
        </w:rPr>
      </w:pPr>
      <w:hyperlink w:anchor="_Toc147830400" w:history="1">
        <w:r w:rsidRPr="005D32DD">
          <w:rPr>
            <w:rStyle w:val="Hipervnculo"/>
            <w:rFonts w:ascii="Verdana" w:eastAsiaTheme="majorEastAsia" w:hAnsi="Verdana" w:cstheme="minorHAnsi"/>
            <w:b/>
            <w:bCs/>
            <w:noProof/>
            <w:sz w:val="22"/>
            <w:szCs w:val="22"/>
            <w:lang w:eastAsia="en-US"/>
          </w:rPr>
          <w:t>7.1.</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lang w:eastAsia="en-US"/>
          </w:rPr>
          <w:t>VERIFICAR LA INFORMACIÓN.</w:t>
        </w:r>
        <w:r w:rsidRPr="005D32DD">
          <w:rPr>
            <w:rFonts w:ascii="Verdana" w:hAnsi="Verdana"/>
            <w:noProof/>
            <w:webHidden/>
            <w:sz w:val="22"/>
            <w:szCs w:val="22"/>
          </w:rPr>
          <w:tab/>
        </w:r>
        <w:r w:rsidR="005D32DD">
          <w:rPr>
            <w:rFonts w:ascii="Verdana" w:hAnsi="Verdana"/>
            <w:noProof/>
            <w:webHidden/>
            <w:sz w:val="22"/>
            <w:szCs w:val="22"/>
          </w:rPr>
          <w:t>5</w:t>
        </w:r>
      </w:hyperlink>
    </w:p>
    <w:p w14:paraId="06E4C2E4" w14:textId="67FDD06B" w:rsidR="00B67AED" w:rsidRPr="005D32DD" w:rsidRDefault="00B67AED" w:rsidP="00B67AED">
      <w:pPr>
        <w:pStyle w:val="TDC3"/>
        <w:tabs>
          <w:tab w:val="left" w:pos="1540"/>
          <w:tab w:val="right" w:leader="dot" w:pos="9345"/>
        </w:tabs>
        <w:rPr>
          <w:rFonts w:ascii="Verdana" w:eastAsiaTheme="minorEastAsia" w:hAnsi="Verdana" w:cstheme="minorBidi"/>
          <w:noProof/>
          <w:sz w:val="22"/>
          <w:szCs w:val="22"/>
          <w:lang w:eastAsia="es-CO"/>
        </w:rPr>
      </w:pPr>
      <w:hyperlink w:anchor="_Toc147830401" w:history="1">
        <w:r w:rsidRPr="005D32DD">
          <w:rPr>
            <w:rStyle w:val="Hipervnculo"/>
            <w:rFonts w:ascii="Verdana" w:eastAsiaTheme="majorEastAsia" w:hAnsi="Verdana" w:cs="Arial"/>
            <w:b/>
            <w:bCs/>
            <w:noProof/>
            <w:sz w:val="22"/>
            <w:szCs w:val="22"/>
          </w:rPr>
          <w:t>7.1.1.</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rPr>
          <w:t>Emplazamiento por no reporte de información financiera.</w:t>
        </w:r>
        <w:r w:rsidRPr="005D32DD">
          <w:rPr>
            <w:rFonts w:ascii="Verdana" w:hAnsi="Verdana"/>
            <w:noProof/>
            <w:webHidden/>
            <w:sz w:val="22"/>
            <w:szCs w:val="22"/>
          </w:rPr>
          <w:tab/>
        </w:r>
        <w:r w:rsidR="005D32DD">
          <w:rPr>
            <w:rFonts w:ascii="Verdana" w:hAnsi="Verdana"/>
            <w:noProof/>
            <w:webHidden/>
            <w:sz w:val="22"/>
            <w:szCs w:val="22"/>
          </w:rPr>
          <w:t>5</w:t>
        </w:r>
      </w:hyperlink>
    </w:p>
    <w:p w14:paraId="11155F50" w14:textId="797D2598" w:rsidR="00B67AED" w:rsidRPr="005D32DD" w:rsidRDefault="00B67AED" w:rsidP="00B67AED">
      <w:pPr>
        <w:pStyle w:val="TDC3"/>
        <w:tabs>
          <w:tab w:val="left" w:pos="1320"/>
          <w:tab w:val="right" w:leader="dot" w:pos="9345"/>
        </w:tabs>
        <w:rPr>
          <w:rFonts w:ascii="Verdana" w:eastAsiaTheme="minorEastAsia" w:hAnsi="Verdana" w:cstheme="minorBidi"/>
          <w:noProof/>
          <w:sz w:val="22"/>
          <w:szCs w:val="22"/>
          <w:lang w:eastAsia="es-CO"/>
        </w:rPr>
      </w:pPr>
      <w:hyperlink w:anchor="_Toc147830402" w:history="1">
        <w:r w:rsidRPr="005D32DD">
          <w:rPr>
            <w:rStyle w:val="Hipervnculo"/>
            <w:rFonts w:ascii="Verdana" w:eastAsiaTheme="majorEastAsia" w:hAnsi="Verdana" w:cstheme="minorHAnsi"/>
            <w:b/>
            <w:bCs/>
            <w:noProof/>
            <w:sz w:val="22"/>
            <w:szCs w:val="22"/>
            <w:lang w:eastAsia="en-US"/>
          </w:rPr>
          <w:t>7.2.</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lang w:eastAsia="en-US"/>
          </w:rPr>
          <w:t>Base Gravable y Tarifa.</w:t>
        </w:r>
        <w:r w:rsidRPr="005D32DD">
          <w:rPr>
            <w:rFonts w:ascii="Verdana" w:hAnsi="Verdana"/>
            <w:noProof/>
            <w:webHidden/>
            <w:sz w:val="22"/>
            <w:szCs w:val="22"/>
          </w:rPr>
          <w:tab/>
        </w:r>
        <w:r w:rsidR="005D32DD">
          <w:rPr>
            <w:rFonts w:ascii="Verdana" w:hAnsi="Verdana"/>
            <w:noProof/>
            <w:webHidden/>
            <w:sz w:val="22"/>
            <w:szCs w:val="22"/>
          </w:rPr>
          <w:t>6</w:t>
        </w:r>
      </w:hyperlink>
    </w:p>
    <w:p w14:paraId="7BF63DEA" w14:textId="26C0F56F" w:rsidR="00B67AED" w:rsidRPr="005D32DD" w:rsidRDefault="00B67AED" w:rsidP="00B67AED">
      <w:pPr>
        <w:pStyle w:val="TDC3"/>
        <w:tabs>
          <w:tab w:val="left" w:pos="1540"/>
          <w:tab w:val="right" w:leader="dot" w:pos="9345"/>
        </w:tabs>
        <w:rPr>
          <w:rFonts w:ascii="Verdana" w:eastAsiaTheme="minorEastAsia" w:hAnsi="Verdana" w:cstheme="minorBidi"/>
          <w:noProof/>
          <w:sz w:val="22"/>
          <w:szCs w:val="22"/>
          <w:lang w:eastAsia="es-CO"/>
        </w:rPr>
      </w:pPr>
      <w:hyperlink w:anchor="_Toc147830403" w:history="1">
        <w:r w:rsidRPr="005D32DD">
          <w:rPr>
            <w:rStyle w:val="Hipervnculo"/>
            <w:rFonts w:ascii="Verdana" w:eastAsiaTheme="majorEastAsia" w:hAnsi="Verdana" w:cs="Arial"/>
            <w:b/>
            <w:bCs/>
            <w:noProof/>
            <w:sz w:val="22"/>
            <w:szCs w:val="22"/>
          </w:rPr>
          <w:t>7.2.1.</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rPr>
          <w:t>Requerimiento especial por inexactitudes en la información financiera.</w:t>
        </w:r>
        <w:r w:rsidRPr="005D32DD">
          <w:rPr>
            <w:rFonts w:ascii="Verdana" w:hAnsi="Verdana"/>
            <w:noProof/>
            <w:webHidden/>
            <w:sz w:val="22"/>
            <w:szCs w:val="22"/>
          </w:rPr>
          <w:tab/>
        </w:r>
        <w:r w:rsidR="005D32DD">
          <w:rPr>
            <w:rFonts w:ascii="Verdana" w:hAnsi="Verdana"/>
            <w:noProof/>
            <w:webHidden/>
            <w:sz w:val="22"/>
            <w:szCs w:val="22"/>
          </w:rPr>
          <w:t>6</w:t>
        </w:r>
      </w:hyperlink>
    </w:p>
    <w:p w14:paraId="30B224E5" w14:textId="4E5ED8F1" w:rsidR="00B67AED" w:rsidRPr="005D32DD" w:rsidRDefault="00B67AED" w:rsidP="00B67AED">
      <w:pPr>
        <w:pStyle w:val="TDC2"/>
        <w:tabs>
          <w:tab w:val="left" w:pos="880"/>
          <w:tab w:val="right" w:leader="dot" w:pos="9345"/>
        </w:tabs>
        <w:rPr>
          <w:rFonts w:ascii="Verdana" w:eastAsiaTheme="minorEastAsia" w:hAnsi="Verdana" w:cstheme="minorBidi"/>
          <w:noProof/>
          <w:sz w:val="22"/>
          <w:szCs w:val="22"/>
          <w:lang w:eastAsia="es-CO"/>
        </w:rPr>
      </w:pPr>
      <w:hyperlink w:anchor="_Toc147830404" w:history="1">
        <w:r w:rsidRPr="005D32DD">
          <w:rPr>
            <w:rStyle w:val="Hipervnculo"/>
            <w:rFonts w:ascii="Verdana" w:eastAsiaTheme="majorEastAsia" w:hAnsi="Verdana" w:cstheme="minorHAnsi"/>
            <w:b/>
            <w:bCs/>
            <w:noProof/>
            <w:sz w:val="22"/>
            <w:szCs w:val="22"/>
            <w:lang w:eastAsia="en-US"/>
          </w:rPr>
          <w:t>7.3.</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lang w:eastAsia="en-US"/>
          </w:rPr>
          <w:t>PASOS PARA LA REVISIÓN DE PAGO DE LA CONTRIBUCIÓN.</w:t>
        </w:r>
        <w:r w:rsidRPr="005D32DD">
          <w:rPr>
            <w:rFonts w:ascii="Verdana" w:hAnsi="Verdana"/>
            <w:noProof/>
            <w:webHidden/>
            <w:sz w:val="22"/>
            <w:szCs w:val="22"/>
          </w:rPr>
          <w:tab/>
        </w:r>
        <w:r w:rsidR="005D32DD">
          <w:rPr>
            <w:rFonts w:ascii="Verdana" w:hAnsi="Verdana"/>
            <w:noProof/>
            <w:webHidden/>
            <w:sz w:val="22"/>
            <w:szCs w:val="22"/>
          </w:rPr>
          <w:t>6</w:t>
        </w:r>
      </w:hyperlink>
    </w:p>
    <w:p w14:paraId="3D3E3032" w14:textId="77AA138C" w:rsidR="00B67AED" w:rsidRPr="005D32DD" w:rsidRDefault="00B67AED" w:rsidP="00B67AED">
      <w:pPr>
        <w:pStyle w:val="TDC3"/>
        <w:tabs>
          <w:tab w:val="left" w:pos="1540"/>
          <w:tab w:val="right" w:leader="dot" w:pos="9345"/>
        </w:tabs>
        <w:rPr>
          <w:rFonts w:ascii="Verdana" w:eastAsiaTheme="minorEastAsia" w:hAnsi="Verdana" w:cstheme="minorBidi"/>
          <w:noProof/>
          <w:sz w:val="22"/>
          <w:szCs w:val="22"/>
          <w:lang w:eastAsia="es-CO"/>
        </w:rPr>
      </w:pPr>
      <w:hyperlink w:anchor="_Toc147830405" w:history="1">
        <w:r w:rsidRPr="005D32DD">
          <w:rPr>
            <w:rStyle w:val="Hipervnculo"/>
            <w:rFonts w:ascii="Verdana" w:eastAsiaTheme="majorEastAsia" w:hAnsi="Verdana" w:cs="Arial"/>
            <w:b/>
            <w:bCs/>
            <w:noProof/>
            <w:sz w:val="22"/>
            <w:szCs w:val="22"/>
          </w:rPr>
          <w:t>7.3.1.</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rPr>
          <w:t>Emplazamiento por no pago de cuota de contribución.</w:t>
        </w:r>
        <w:r w:rsidRPr="005D32DD">
          <w:rPr>
            <w:rFonts w:ascii="Verdana" w:hAnsi="Verdana"/>
            <w:noProof/>
            <w:webHidden/>
            <w:sz w:val="22"/>
            <w:szCs w:val="22"/>
          </w:rPr>
          <w:tab/>
        </w:r>
        <w:r w:rsidR="005D32DD">
          <w:rPr>
            <w:rFonts w:ascii="Verdana" w:hAnsi="Verdana"/>
            <w:noProof/>
            <w:webHidden/>
            <w:sz w:val="22"/>
            <w:szCs w:val="22"/>
          </w:rPr>
          <w:t>8</w:t>
        </w:r>
      </w:hyperlink>
    </w:p>
    <w:p w14:paraId="15CBC130" w14:textId="322B1DB8" w:rsidR="00B67AED" w:rsidRPr="005D32DD" w:rsidRDefault="00B67AED" w:rsidP="00B67AED">
      <w:pPr>
        <w:pStyle w:val="TDC3"/>
        <w:tabs>
          <w:tab w:val="left" w:pos="1540"/>
          <w:tab w:val="right" w:leader="dot" w:pos="9345"/>
        </w:tabs>
        <w:rPr>
          <w:rFonts w:ascii="Verdana" w:eastAsiaTheme="minorEastAsia" w:hAnsi="Verdana" w:cstheme="minorBidi"/>
          <w:noProof/>
          <w:sz w:val="22"/>
          <w:szCs w:val="22"/>
          <w:lang w:eastAsia="es-CO"/>
        </w:rPr>
      </w:pPr>
      <w:hyperlink w:anchor="_Toc147830406" w:history="1">
        <w:r w:rsidRPr="005D32DD">
          <w:rPr>
            <w:rStyle w:val="Hipervnculo"/>
            <w:rFonts w:ascii="Verdana" w:eastAsiaTheme="majorEastAsia" w:hAnsi="Verdana" w:cs="Arial"/>
            <w:b/>
            <w:bCs/>
            <w:noProof/>
            <w:sz w:val="22"/>
            <w:szCs w:val="22"/>
          </w:rPr>
          <w:t>7.3.2.</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rPr>
          <w:t>En caso de devolución por pago mayor en la cuota de contribución.</w:t>
        </w:r>
        <w:r w:rsidRPr="005D32DD">
          <w:rPr>
            <w:rFonts w:ascii="Verdana" w:hAnsi="Verdana"/>
            <w:noProof/>
            <w:webHidden/>
            <w:sz w:val="22"/>
            <w:szCs w:val="22"/>
          </w:rPr>
          <w:tab/>
        </w:r>
        <w:r w:rsidR="005D32DD">
          <w:rPr>
            <w:rFonts w:ascii="Verdana" w:hAnsi="Verdana"/>
            <w:noProof/>
            <w:webHidden/>
            <w:sz w:val="22"/>
            <w:szCs w:val="22"/>
          </w:rPr>
          <w:t>8</w:t>
        </w:r>
      </w:hyperlink>
    </w:p>
    <w:p w14:paraId="44BF0BCE" w14:textId="4FEB1CBE" w:rsidR="00B67AED" w:rsidRPr="005D32DD" w:rsidRDefault="00B67AED" w:rsidP="00B67AED">
      <w:pPr>
        <w:pStyle w:val="TDC2"/>
        <w:tabs>
          <w:tab w:val="left" w:pos="1100"/>
          <w:tab w:val="right" w:leader="dot" w:pos="9345"/>
        </w:tabs>
        <w:rPr>
          <w:rFonts w:ascii="Verdana" w:eastAsiaTheme="minorEastAsia" w:hAnsi="Verdana" w:cstheme="minorBidi"/>
          <w:noProof/>
          <w:sz w:val="22"/>
          <w:szCs w:val="22"/>
          <w:lang w:eastAsia="es-CO"/>
        </w:rPr>
      </w:pPr>
      <w:hyperlink w:anchor="_Toc147830407" w:history="1">
        <w:r w:rsidRPr="005D32DD">
          <w:rPr>
            <w:rStyle w:val="Hipervnculo"/>
            <w:rFonts w:ascii="Verdana" w:eastAsiaTheme="majorEastAsia" w:hAnsi="Verdana" w:cstheme="minorHAnsi"/>
            <w:b/>
            <w:bCs/>
            <w:noProof/>
            <w:sz w:val="22"/>
            <w:szCs w:val="22"/>
            <w:lang w:eastAsia="en-US"/>
          </w:rPr>
          <w:t>7.4.</w:t>
        </w:r>
        <w:r w:rsidRPr="005D32DD">
          <w:rPr>
            <w:rFonts w:ascii="Verdana" w:eastAsiaTheme="minorEastAsia" w:hAnsi="Verdana" w:cstheme="minorBidi"/>
            <w:noProof/>
            <w:sz w:val="22"/>
            <w:szCs w:val="22"/>
            <w:lang w:eastAsia="es-CO"/>
          </w:rPr>
          <w:tab/>
        </w:r>
        <w:r w:rsidRPr="005D32DD">
          <w:rPr>
            <w:rStyle w:val="Hipervnculo"/>
            <w:rFonts w:ascii="Verdana" w:eastAsiaTheme="majorEastAsia" w:hAnsi="Verdana" w:cstheme="minorHAnsi"/>
            <w:b/>
            <w:bCs/>
            <w:noProof/>
            <w:sz w:val="22"/>
            <w:szCs w:val="22"/>
            <w:lang w:eastAsia="en-US"/>
          </w:rPr>
          <w:t>ARCHIVAR DOCUMENTACIÓN.</w:t>
        </w:r>
        <w:r w:rsidRPr="005D32DD">
          <w:rPr>
            <w:rFonts w:ascii="Verdana" w:hAnsi="Verdana"/>
            <w:noProof/>
            <w:webHidden/>
            <w:sz w:val="22"/>
            <w:szCs w:val="22"/>
          </w:rPr>
          <w:tab/>
        </w:r>
        <w:r w:rsidR="005D32DD">
          <w:rPr>
            <w:rFonts w:ascii="Verdana" w:hAnsi="Verdana"/>
            <w:noProof/>
            <w:webHidden/>
            <w:sz w:val="22"/>
            <w:szCs w:val="22"/>
          </w:rPr>
          <w:t>9</w:t>
        </w:r>
      </w:hyperlink>
    </w:p>
    <w:p w14:paraId="7034AE9B" w14:textId="77777777" w:rsidR="00B67AED" w:rsidRPr="005D32DD" w:rsidRDefault="00B67AED" w:rsidP="00B67AED">
      <w:pPr>
        <w:spacing w:after="200"/>
        <w:rPr>
          <w:rFonts w:ascii="Verdana" w:hAnsi="Verdana" w:cstheme="minorHAnsi"/>
          <w:b/>
          <w:bCs/>
          <w:sz w:val="22"/>
          <w:szCs w:val="22"/>
          <w:lang w:val="es-ES"/>
        </w:rPr>
      </w:pPr>
      <w:r w:rsidRPr="005D32DD">
        <w:rPr>
          <w:rFonts w:ascii="Verdana" w:hAnsi="Verdana" w:cstheme="minorHAnsi"/>
          <w:sz w:val="22"/>
          <w:szCs w:val="22"/>
          <w:lang w:val="es-ES"/>
        </w:rPr>
        <w:fldChar w:fldCharType="end"/>
      </w:r>
    </w:p>
    <w:p w14:paraId="301B692B" w14:textId="77777777" w:rsidR="00B67AED" w:rsidRPr="005D32DD" w:rsidRDefault="00B67AED" w:rsidP="00B67AED">
      <w:pPr>
        <w:spacing w:after="200"/>
        <w:jc w:val="center"/>
        <w:rPr>
          <w:rFonts w:ascii="Verdana" w:hAnsi="Verdana" w:cstheme="minorHAnsi"/>
          <w:sz w:val="22"/>
          <w:szCs w:val="22"/>
          <w:lang w:val="es-ES"/>
        </w:rPr>
      </w:pPr>
      <w:r w:rsidRPr="005D32DD">
        <w:rPr>
          <w:rFonts w:ascii="Verdana" w:hAnsi="Verdana" w:cstheme="minorHAnsi"/>
          <w:b/>
          <w:bCs/>
          <w:sz w:val="22"/>
          <w:szCs w:val="22"/>
          <w:lang w:val="es-ES"/>
        </w:rPr>
        <w:t>INDICE DE TABLAS</w:t>
      </w:r>
    </w:p>
    <w:p w14:paraId="269E7003" w14:textId="543143FB" w:rsidR="00B67AED" w:rsidRPr="005D32DD" w:rsidRDefault="00B67AED" w:rsidP="00B67AED">
      <w:pPr>
        <w:pStyle w:val="Tabladeilustraciones"/>
        <w:tabs>
          <w:tab w:val="right" w:leader="dot" w:pos="9345"/>
        </w:tabs>
        <w:rPr>
          <w:rFonts w:ascii="Verdana" w:eastAsiaTheme="minorEastAsia" w:hAnsi="Verdana" w:cstheme="minorBidi"/>
          <w:noProof/>
          <w:sz w:val="22"/>
          <w:szCs w:val="22"/>
          <w:lang w:eastAsia="es-CO"/>
        </w:rPr>
      </w:pPr>
      <w:r w:rsidRPr="005D32DD">
        <w:rPr>
          <w:rFonts w:ascii="Verdana" w:hAnsi="Verdana" w:cstheme="minorHAnsi"/>
          <w:sz w:val="22"/>
          <w:szCs w:val="22"/>
          <w:lang w:val="es-ES" w:eastAsia="en-US"/>
        </w:rPr>
        <w:fldChar w:fldCharType="begin"/>
      </w:r>
      <w:r w:rsidRPr="005D32DD">
        <w:rPr>
          <w:rFonts w:ascii="Verdana" w:hAnsi="Verdana" w:cstheme="minorHAnsi"/>
          <w:sz w:val="22"/>
          <w:szCs w:val="22"/>
          <w:lang w:val="es-ES" w:eastAsia="en-US"/>
        </w:rPr>
        <w:instrText xml:space="preserve"> TOC \h \z \c "Tabla" </w:instrText>
      </w:r>
      <w:r w:rsidRPr="005D32DD">
        <w:rPr>
          <w:rFonts w:ascii="Verdana" w:hAnsi="Verdana" w:cstheme="minorHAnsi"/>
          <w:sz w:val="22"/>
          <w:szCs w:val="22"/>
          <w:lang w:val="es-ES" w:eastAsia="en-US"/>
        </w:rPr>
        <w:fldChar w:fldCharType="separate"/>
      </w:r>
      <w:hyperlink w:anchor="_Toc148523344" w:history="1">
        <w:r w:rsidRPr="005D32DD">
          <w:rPr>
            <w:rStyle w:val="Hipervnculo"/>
            <w:rFonts w:ascii="Verdana" w:eastAsiaTheme="majorEastAsia" w:hAnsi="Verdana" w:cstheme="minorHAnsi"/>
            <w:b/>
            <w:bCs/>
            <w:noProof/>
            <w:sz w:val="22"/>
            <w:szCs w:val="22"/>
          </w:rPr>
          <w:t>Tabla 1: Clasificación del tipo de servicio y la información a reportar.</w:t>
        </w:r>
        <w:r w:rsidRPr="005D32DD">
          <w:rPr>
            <w:rFonts w:ascii="Verdana" w:hAnsi="Verdana"/>
            <w:noProof/>
            <w:webHidden/>
            <w:sz w:val="22"/>
            <w:szCs w:val="22"/>
          </w:rPr>
          <w:tab/>
        </w:r>
        <w:r w:rsidR="005D32DD">
          <w:rPr>
            <w:rFonts w:ascii="Verdana" w:hAnsi="Verdana"/>
            <w:noProof/>
            <w:webHidden/>
            <w:sz w:val="22"/>
            <w:szCs w:val="22"/>
          </w:rPr>
          <w:t>3</w:t>
        </w:r>
      </w:hyperlink>
    </w:p>
    <w:p w14:paraId="273BF151" w14:textId="7084EA19" w:rsidR="00B67AED" w:rsidRPr="005D32DD" w:rsidRDefault="00B67AED" w:rsidP="00B67AED">
      <w:pPr>
        <w:pStyle w:val="Tabladeilustraciones"/>
        <w:tabs>
          <w:tab w:val="right" w:leader="dot" w:pos="9345"/>
        </w:tabs>
        <w:rPr>
          <w:rFonts w:ascii="Verdana" w:eastAsiaTheme="minorEastAsia" w:hAnsi="Verdana" w:cstheme="minorBidi"/>
          <w:noProof/>
          <w:sz w:val="22"/>
          <w:szCs w:val="22"/>
          <w:lang w:eastAsia="es-CO"/>
        </w:rPr>
      </w:pPr>
      <w:hyperlink w:anchor="_Toc148523345" w:history="1">
        <w:r w:rsidRPr="005D32DD">
          <w:rPr>
            <w:rStyle w:val="Hipervnculo"/>
            <w:rFonts w:ascii="Verdana" w:eastAsiaTheme="majorEastAsia" w:hAnsi="Verdana" w:cstheme="minorHAnsi"/>
            <w:b/>
            <w:bCs/>
            <w:noProof/>
            <w:sz w:val="22"/>
            <w:szCs w:val="22"/>
          </w:rPr>
          <w:t>Tabla 2: Documentos requeridos por los vigilados.</w:t>
        </w:r>
        <w:r w:rsidRPr="005D32DD">
          <w:rPr>
            <w:rFonts w:ascii="Verdana" w:hAnsi="Verdana"/>
            <w:noProof/>
            <w:webHidden/>
            <w:sz w:val="22"/>
            <w:szCs w:val="22"/>
          </w:rPr>
          <w:tab/>
        </w:r>
        <w:r w:rsidR="005D32DD">
          <w:rPr>
            <w:rFonts w:ascii="Verdana" w:hAnsi="Verdana"/>
            <w:noProof/>
            <w:webHidden/>
            <w:sz w:val="22"/>
            <w:szCs w:val="22"/>
          </w:rPr>
          <w:t>4</w:t>
        </w:r>
      </w:hyperlink>
    </w:p>
    <w:p w14:paraId="41A57C2E" w14:textId="7AEA1322" w:rsidR="00B67AED" w:rsidRPr="005D32DD" w:rsidRDefault="00B67AED" w:rsidP="00B67AED">
      <w:pPr>
        <w:pStyle w:val="Tabladeilustraciones"/>
        <w:tabs>
          <w:tab w:val="right" w:leader="dot" w:pos="9345"/>
        </w:tabs>
        <w:rPr>
          <w:rFonts w:ascii="Verdana" w:eastAsiaTheme="minorEastAsia" w:hAnsi="Verdana" w:cstheme="minorBidi"/>
          <w:noProof/>
          <w:sz w:val="22"/>
          <w:szCs w:val="22"/>
          <w:lang w:eastAsia="es-CO"/>
        </w:rPr>
      </w:pPr>
      <w:hyperlink w:anchor="_Toc148523346" w:history="1">
        <w:r w:rsidRPr="005D32DD">
          <w:rPr>
            <w:rStyle w:val="Hipervnculo"/>
            <w:rFonts w:ascii="Verdana" w:eastAsiaTheme="majorEastAsia" w:hAnsi="Verdana" w:cstheme="minorHAnsi"/>
            <w:b/>
            <w:bCs/>
            <w:noProof/>
            <w:sz w:val="22"/>
            <w:szCs w:val="22"/>
          </w:rPr>
          <w:t>Tabla 3: Definición de tarifa.</w:t>
        </w:r>
        <w:r w:rsidRPr="005D32DD">
          <w:rPr>
            <w:rFonts w:ascii="Verdana" w:hAnsi="Verdana"/>
            <w:noProof/>
            <w:webHidden/>
            <w:sz w:val="22"/>
            <w:szCs w:val="22"/>
          </w:rPr>
          <w:tab/>
        </w:r>
        <w:r w:rsidR="005D32DD">
          <w:rPr>
            <w:rFonts w:ascii="Verdana" w:hAnsi="Verdana"/>
            <w:noProof/>
            <w:webHidden/>
            <w:sz w:val="22"/>
            <w:szCs w:val="22"/>
          </w:rPr>
          <w:t>6</w:t>
        </w:r>
      </w:hyperlink>
    </w:p>
    <w:p w14:paraId="0499BCB1" w14:textId="1EC16029" w:rsidR="00B67AED" w:rsidRPr="005D32DD" w:rsidRDefault="00B67AED" w:rsidP="00B67AED">
      <w:pPr>
        <w:pStyle w:val="Tabladeilustraciones"/>
        <w:tabs>
          <w:tab w:val="right" w:leader="dot" w:pos="9345"/>
        </w:tabs>
        <w:rPr>
          <w:rFonts w:ascii="Verdana" w:eastAsiaTheme="minorEastAsia" w:hAnsi="Verdana" w:cstheme="minorBidi"/>
          <w:noProof/>
          <w:sz w:val="22"/>
          <w:szCs w:val="22"/>
          <w:lang w:eastAsia="es-CO"/>
        </w:rPr>
      </w:pPr>
      <w:hyperlink w:anchor="_Toc148523347" w:history="1">
        <w:r w:rsidRPr="005D32DD">
          <w:rPr>
            <w:rStyle w:val="Hipervnculo"/>
            <w:rFonts w:ascii="Verdana" w:eastAsiaTheme="majorEastAsia" w:hAnsi="Verdana" w:cstheme="minorHAnsi"/>
            <w:b/>
            <w:bCs/>
            <w:noProof/>
            <w:sz w:val="22"/>
            <w:szCs w:val="22"/>
          </w:rPr>
          <w:t>Tabla 4 Formatos de revisión.</w:t>
        </w:r>
        <w:r w:rsidRPr="005D32DD">
          <w:rPr>
            <w:rFonts w:ascii="Verdana" w:hAnsi="Verdana"/>
            <w:noProof/>
            <w:webHidden/>
            <w:sz w:val="22"/>
            <w:szCs w:val="22"/>
          </w:rPr>
          <w:tab/>
        </w:r>
        <w:r w:rsidR="005D32DD">
          <w:rPr>
            <w:rFonts w:ascii="Verdana" w:hAnsi="Verdana"/>
            <w:noProof/>
            <w:webHidden/>
            <w:sz w:val="22"/>
            <w:szCs w:val="22"/>
          </w:rPr>
          <w:t>7</w:t>
        </w:r>
      </w:hyperlink>
    </w:p>
    <w:p w14:paraId="18E88CD3" w14:textId="77777777" w:rsidR="00B67AED" w:rsidRPr="005D32DD" w:rsidRDefault="00B67AED" w:rsidP="00B67AED">
      <w:pPr>
        <w:spacing w:after="200"/>
        <w:rPr>
          <w:rFonts w:ascii="Verdana" w:hAnsi="Verdana" w:cstheme="minorHAnsi"/>
          <w:b/>
          <w:bCs/>
          <w:sz w:val="22"/>
          <w:szCs w:val="22"/>
          <w:lang w:val="es-ES"/>
        </w:rPr>
      </w:pPr>
      <w:r w:rsidRPr="005D32DD">
        <w:rPr>
          <w:rFonts w:ascii="Verdana" w:hAnsi="Verdana" w:cstheme="minorHAnsi"/>
          <w:sz w:val="22"/>
          <w:szCs w:val="22"/>
          <w:lang w:val="es-ES"/>
        </w:rPr>
        <w:fldChar w:fldCharType="end"/>
      </w:r>
    </w:p>
    <w:p w14:paraId="2C6F28CF" w14:textId="77777777" w:rsidR="00B67AED" w:rsidRPr="005D32DD" w:rsidRDefault="00B67AED" w:rsidP="00B67AED">
      <w:pPr>
        <w:spacing w:after="200"/>
        <w:rPr>
          <w:rFonts w:ascii="Verdana" w:hAnsi="Verdana" w:cstheme="minorHAnsi"/>
          <w:b/>
          <w:bCs/>
          <w:sz w:val="22"/>
          <w:szCs w:val="22"/>
          <w:lang w:val="es-ES"/>
        </w:rPr>
      </w:pPr>
    </w:p>
    <w:p w14:paraId="3F7D62D8" w14:textId="77777777" w:rsidR="00B67AED" w:rsidRPr="005D32DD" w:rsidRDefault="00B67AED" w:rsidP="00B67AED">
      <w:pPr>
        <w:spacing w:after="200"/>
        <w:rPr>
          <w:rFonts w:ascii="Verdana" w:hAnsi="Verdana" w:cstheme="minorHAnsi"/>
          <w:b/>
          <w:bCs/>
          <w:sz w:val="22"/>
          <w:szCs w:val="22"/>
          <w:lang w:val="es-ES"/>
        </w:rPr>
      </w:pPr>
    </w:p>
    <w:p w14:paraId="4845C38C" w14:textId="77777777" w:rsidR="00B67AED" w:rsidRDefault="00B67AED" w:rsidP="00B67AED">
      <w:pPr>
        <w:spacing w:after="200"/>
        <w:rPr>
          <w:rFonts w:ascii="Verdana" w:hAnsi="Verdana" w:cstheme="minorHAnsi"/>
          <w:b/>
          <w:bCs/>
          <w:sz w:val="22"/>
          <w:szCs w:val="22"/>
          <w:lang w:val="es-ES"/>
        </w:rPr>
      </w:pPr>
    </w:p>
    <w:p w14:paraId="7EDB21DF" w14:textId="77777777" w:rsidR="005D32DD" w:rsidRDefault="005D32DD" w:rsidP="00B67AED">
      <w:pPr>
        <w:spacing w:after="200"/>
        <w:rPr>
          <w:rFonts w:ascii="Verdana" w:hAnsi="Verdana" w:cstheme="minorHAnsi"/>
          <w:b/>
          <w:bCs/>
          <w:sz w:val="22"/>
          <w:szCs w:val="22"/>
          <w:lang w:val="es-ES"/>
        </w:rPr>
      </w:pPr>
    </w:p>
    <w:p w14:paraId="60298D1F" w14:textId="77777777" w:rsidR="005D32DD" w:rsidRDefault="005D32DD" w:rsidP="00B67AED">
      <w:pPr>
        <w:spacing w:after="200"/>
        <w:rPr>
          <w:rFonts w:ascii="Verdana" w:hAnsi="Verdana" w:cstheme="minorHAnsi"/>
          <w:b/>
          <w:bCs/>
          <w:sz w:val="22"/>
          <w:szCs w:val="22"/>
          <w:lang w:val="es-ES"/>
        </w:rPr>
      </w:pPr>
    </w:p>
    <w:p w14:paraId="6C125731" w14:textId="77777777" w:rsidR="005D32DD" w:rsidRDefault="005D32DD" w:rsidP="00B67AED">
      <w:pPr>
        <w:spacing w:after="200"/>
        <w:rPr>
          <w:rFonts w:ascii="Verdana" w:hAnsi="Verdana" w:cstheme="minorHAnsi"/>
          <w:b/>
          <w:bCs/>
          <w:sz w:val="22"/>
          <w:szCs w:val="22"/>
          <w:lang w:val="es-ES"/>
        </w:rPr>
      </w:pPr>
    </w:p>
    <w:p w14:paraId="3F0C19C5" w14:textId="77777777" w:rsidR="005D32DD" w:rsidRDefault="005D32DD" w:rsidP="00B67AED">
      <w:pPr>
        <w:spacing w:after="200"/>
        <w:rPr>
          <w:rFonts w:ascii="Verdana" w:hAnsi="Verdana" w:cstheme="minorHAnsi"/>
          <w:b/>
          <w:bCs/>
          <w:sz w:val="22"/>
          <w:szCs w:val="22"/>
          <w:lang w:val="es-ES"/>
        </w:rPr>
      </w:pPr>
    </w:p>
    <w:p w14:paraId="59A3AA8C" w14:textId="77777777" w:rsidR="005D32DD" w:rsidRDefault="005D32DD" w:rsidP="00B67AED">
      <w:pPr>
        <w:spacing w:after="200"/>
        <w:rPr>
          <w:rFonts w:ascii="Verdana" w:hAnsi="Verdana" w:cstheme="minorHAnsi"/>
          <w:b/>
          <w:bCs/>
          <w:sz w:val="22"/>
          <w:szCs w:val="22"/>
          <w:lang w:val="es-ES"/>
        </w:rPr>
      </w:pPr>
    </w:p>
    <w:p w14:paraId="0947F30E" w14:textId="77777777" w:rsidR="005D32DD" w:rsidRDefault="005D32DD" w:rsidP="00B67AED">
      <w:pPr>
        <w:spacing w:after="200"/>
        <w:rPr>
          <w:rFonts w:ascii="Verdana" w:hAnsi="Verdana" w:cstheme="minorHAnsi"/>
          <w:b/>
          <w:bCs/>
          <w:sz w:val="22"/>
          <w:szCs w:val="22"/>
          <w:lang w:val="es-ES"/>
        </w:rPr>
      </w:pPr>
    </w:p>
    <w:p w14:paraId="56A3CD80" w14:textId="77777777" w:rsidR="005D32DD" w:rsidRDefault="005D32DD" w:rsidP="00B67AED">
      <w:pPr>
        <w:spacing w:after="200"/>
        <w:rPr>
          <w:rFonts w:ascii="Verdana" w:hAnsi="Verdana" w:cstheme="minorHAnsi"/>
          <w:b/>
          <w:bCs/>
          <w:sz w:val="22"/>
          <w:szCs w:val="22"/>
          <w:lang w:val="es-ES"/>
        </w:rPr>
      </w:pPr>
    </w:p>
    <w:p w14:paraId="2148DC9B" w14:textId="77777777" w:rsidR="005D32DD" w:rsidRDefault="005D32DD" w:rsidP="00B67AED">
      <w:pPr>
        <w:spacing w:after="200"/>
        <w:rPr>
          <w:rFonts w:ascii="Verdana" w:hAnsi="Verdana" w:cstheme="minorHAnsi"/>
          <w:b/>
          <w:bCs/>
          <w:sz w:val="22"/>
          <w:szCs w:val="22"/>
          <w:lang w:val="es-ES"/>
        </w:rPr>
      </w:pPr>
    </w:p>
    <w:p w14:paraId="5D06C5B1" w14:textId="77777777" w:rsidR="005D32DD" w:rsidRDefault="005D32DD" w:rsidP="00B67AED">
      <w:pPr>
        <w:spacing w:after="200"/>
        <w:rPr>
          <w:rFonts w:ascii="Verdana" w:hAnsi="Verdana" w:cstheme="minorHAnsi"/>
          <w:b/>
          <w:bCs/>
          <w:sz w:val="22"/>
          <w:szCs w:val="22"/>
          <w:lang w:val="es-ES"/>
        </w:rPr>
      </w:pPr>
    </w:p>
    <w:p w14:paraId="55509B87" w14:textId="77777777" w:rsidR="005D32DD" w:rsidRPr="005D32DD" w:rsidRDefault="005D32DD" w:rsidP="00B67AED">
      <w:pPr>
        <w:spacing w:after="200"/>
        <w:rPr>
          <w:rFonts w:ascii="Verdana" w:hAnsi="Verdana" w:cstheme="minorHAnsi"/>
          <w:b/>
          <w:bCs/>
          <w:sz w:val="22"/>
          <w:szCs w:val="22"/>
          <w:lang w:val="es-ES"/>
        </w:rPr>
      </w:pPr>
    </w:p>
    <w:p w14:paraId="376BABD9" w14:textId="77777777" w:rsidR="00B67AED" w:rsidRPr="005D32DD" w:rsidRDefault="00B67AED" w:rsidP="00B67AED">
      <w:pPr>
        <w:spacing w:after="200"/>
        <w:rPr>
          <w:rFonts w:ascii="Verdana" w:hAnsi="Verdana" w:cstheme="minorHAnsi"/>
          <w:b/>
          <w:bCs/>
          <w:sz w:val="22"/>
          <w:szCs w:val="22"/>
          <w:lang w:val="es-ES"/>
        </w:rPr>
      </w:pPr>
    </w:p>
    <w:p w14:paraId="38AC8371" w14:textId="77777777" w:rsidR="00B67AED" w:rsidRPr="005D32DD" w:rsidRDefault="00B67AED" w:rsidP="00B67AED">
      <w:pPr>
        <w:keepNext/>
        <w:numPr>
          <w:ilvl w:val="0"/>
          <w:numId w:val="11"/>
        </w:numPr>
        <w:spacing w:before="240" w:after="60"/>
        <w:outlineLvl w:val="0"/>
        <w:rPr>
          <w:rFonts w:ascii="Verdana" w:hAnsi="Verdana" w:cstheme="minorHAnsi"/>
          <w:b/>
          <w:bCs/>
          <w:kern w:val="32"/>
          <w:sz w:val="22"/>
          <w:szCs w:val="22"/>
        </w:rPr>
      </w:pPr>
      <w:bookmarkStart w:id="0" w:name="_Toc147830393"/>
      <w:r w:rsidRPr="005D32DD">
        <w:rPr>
          <w:rFonts w:ascii="Verdana" w:hAnsi="Verdana" w:cstheme="minorHAnsi"/>
          <w:b/>
          <w:bCs/>
          <w:kern w:val="32"/>
          <w:sz w:val="22"/>
          <w:szCs w:val="22"/>
        </w:rPr>
        <w:t>INTRODUCCIÓN</w:t>
      </w:r>
      <w:bookmarkEnd w:id="0"/>
    </w:p>
    <w:p w14:paraId="4D3B5733" w14:textId="77777777" w:rsidR="00B67AED" w:rsidRPr="005D32DD" w:rsidRDefault="00B67AED" w:rsidP="00B67AED">
      <w:pPr>
        <w:spacing w:after="200"/>
        <w:jc w:val="both"/>
        <w:rPr>
          <w:rFonts w:ascii="Verdana" w:hAnsi="Verdana" w:cstheme="minorHAnsi"/>
          <w:sz w:val="22"/>
          <w:szCs w:val="22"/>
        </w:rPr>
      </w:pPr>
    </w:p>
    <w:p w14:paraId="788D0E80"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 xml:space="preserve">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 En su función, con lo señalado por la Ley 1819 de 2016 (Art 371) “la Superintendencia de Vigilancia y Seguridad Privada que tendrá por objeto cubrir los costos y gastos asociados a su funcionamiento e inversión, la cual estará a cargo de las personas naturales o jurídicas que ejerzan o presten las actividades y los servicios sometidos a su control, inspección y vigilancia que se encuentran señalados en el artículo 4° del Decreto-ley 356 de 1994 o en la norma legal que la subrogue, modifique o actualice.”. Por lo anterior, se establece una base gravable y tarifa a las entidades del sector e Vigilancia y Seguridad privada para un pago anual de la cuota de contribución según el servicio que brinde dicha entidad. </w:t>
      </w:r>
    </w:p>
    <w:p w14:paraId="56722F92"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 xml:space="preserve">Con el objetivo de describir la labor del profesional en la revisión de pagos de la cuota de contribución por los vigilados a favor de la Superintendencia, aclarando las etapas a desarrollar para cada proceso, se realiza el siguiente documento, que en su inicio muestra la clasificación de las entidades del sector de Vigilancia y Seguridad privada según el servicio que ofrecen, para determinar que documentación mínima de la parte financiera es requerida. Si el vigilado a favor de la Superintendencia cumple con su deber al reportar la documentación requerida en la plataforma y fecha establecida para tal fin; se procede a determinar la base gravable o tarifa de la cuota de contribución; de lo contrario, si el vigilado a favor de la Superintendencia no reporto la documentación financiera, se realiza un comunicado de emplazamiento por tal motivo. Teniendo la información financiera necesaria se emite la resolución de liquidación al vigilado describiendo la base gravable y tarifa a pagar como valor de la cuota de contribución. El profesional de la labor debe realizar la revisión del pago de la cuota de contribución teniendo en cuenta, que sea correcto el valor pagado y que sea efectuado en las fechas establecidas; si el pago de la cuota de contribución no se realiza en la fecha establecida o se hace de manera parcial, se debe enviar un comunicado de emplazamiento a la entidad por no pago o pago parcial de la cuota de contribución. Una vez hecha la revisión del pago de la cuota de contribución, si el vigilado a favor de la Superintendencia efectúa de manera correcta la contribución se registra en su estado de cuenta y se archiva en el expediente del vigilado los documentos utilizados. </w:t>
      </w:r>
    </w:p>
    <w:p w14:paraId="7597E39B" w14:textId="77777777" w:rsidR="00B67AE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En la revisión de pago de la cuota de contribución es importante tener en consideración la clasificación de las entidades del sector de Vigilancia y Seguridad privada, la documentación financiera requerida para cada vigilado, la tarifa y base gravable según el tipo de vigilado a favor de la Superintendencia, el pago correcto en la fecha de vigencia para el mismo, y el registro de la actualización de dicho pago en el estado de cuenta. Todo lo anterior, llevando el procedimiento y registro indicado en el presente documento.</w:t>
      </w:r>
    </w:p>
    <w:p w14:paraId="052B2C86" w14:textId="77777777" w:rsidR="005D32DD" w:rsidRDefault="005D32DD" w:rsidP="00B67AED">
      <w:pPr>
        <w:spacing w:after="200"/>
        <w:jc w:val="both"/>
        <w:rPr>
          <w:rFonts w:ascii="Verdana" w:hAnsi="Verdana" w:cstheme="minorHAnsi"/>
          <w:sz w:val="22"/>
          <w:szCs w:val="22"/>
        </w:rPr>
      </w:pPr>
    </w:p>
    <w:p w14:paraId="5F039CE7" w14:textId="77777777" w:rsidR="00B67AED" w:rsidRPr="005D32DD" w:rsidRDefault="00B67AED" w:rsidP="00B67AED">
      <w:pPr>
        <w:keepNext/>
        <w:numPr>
          <w:ilvl w:val="0"/>
          <w:numId w:val="11"/>
        </w:numPr>
        <w:spacing w:before="240" w:after="60"/>
        <w:outlineLvl w:val="0"/>
        <w:rPr>
          <w:rFonts w:ascii="Verdana" w:hAnsi="Verdana" w:cstheme="minorHAnsi"/>
          <w:b/>
          <w:bCs/>
          <w:kern w:val="32"/>
          <w:sz w:val="22"/>
          <w:szCs w:val="22"/>
        </w:rPr>
      </w:pPr>
      <w:bookmarkStart w:id="1" w:name="_Toc147830394"/>
      <w:r w:rsidRPr="005D32DD">
        <w:rPr>
          <w:rFonts w:ascii="Verdana" w:hAnsi="Verdana" w:cstheme="minorHAnsi"/>
          <w:b/>
          <w:bCs/>
          <w:kern w:val="32"/>
          <w:sz w:val="22"/>
          <w:szCs w:val="22"/>
        </w:rPr>
        <w:lastRenderedPageBreak/>
        <w:t>OBJETIVO GENERAL</w:t>
      </w:r>
      <w:bookmarkEnd w:id="1"/>
      <w:r w:rsidRPr="005D32DD">
        <w:rPr>
          <w:rFonts w:ascii="Verdana" w:hAnsi="Verdana" w:cstheme="minorHAnsi"/>
          <w:b/>
          <w:bCs/>
          <w:kern w:val="32"/>
          <w:sz w:val="22"/>
          <w:szCs w:val="22"/>
        </w:rPr>
        <w:t xml:space="preserve"> </w:t>
      </w:r>
    </w:p>
    <w:p w14:paraId="28A743D4"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 xml:space="preserve">Describir el proceso de revisión de pagos de la cuota de contribución por los servicios vigilados a favor de la Superintendencia, aclarando las actividades que se deben desarrollar para cada etapa del proceso. </w:t>
      </w:r>
    </w:p>
    <w:p w14:paraId="33E1E3CC" w14:textId="77777777" w:rsidR="00B67AED" w:rsidRPr="005D32DD" w:rsidRDefault="00B67AED" w:rsidP="00B67AED">
      <w:pPr>
        <w:keepNext/>
        <w:numPr>
          <w:ilvl w:val="0"/>
          <w:numId w:val="11"/>
        </w:numPr>
        <w:spacing w:before="240" w:after="60"/>
        <w:outlineLvl w:val="0"/>
        <w:rPr>
          <w:rFonts w:ascii="Verdana" w:hAnsi="Verdana" w:cstheme="minorHAnsi"/>
          <w:b/>
          <w:bCs/>
          <w:kern w:val="32"/>
          <w:sz w:val="22"/>
          <w:szCs w:val="22"/>
        </w:rPr>
      </w:pPr>
      <w:bookmarkStart w:id="2" w:name="_Toc147830395"/>
      <w:r w:rsidRPr="005D32DD">
        <w:rPr>
          <w:rFonts w:ascii="Verdana" w:hAnsi="Verdana" w:cstheme="minorHAnsi"/>
          <w:b/>
          <w:bCs/>
          <w:kern w:val="32"/>
          <w:sz w:val="22"/>
          <w:szCs w:val="22"/>
        </w:rPr>
        <w:t>NORMATIVIDAD</w:t>
      </w:r>
      <w:bookmarkEnd w:id="2"/>
      <w:r w:rsidRPr="005D32DD">
        <w:rPr>
          <w:rFonts w:ascii="Verdana" w:hAnsi="Verdana" w:cstheme="minorHAnsi"/>
          <w:b/>
          <w:bCs/>
          <w:kern w:val="32"/>
          <w:sz w:val="22"/>
          <w:szCs w:val="22"/>
        </w:rPr>
        <w:t xml:space="preserve"> </w:t>
      </w:r>
    </w:p>
    <w:p w14:paraId="7BECE365" w14:textId="77777777" w:rsidR="00B67AED" w:rsidRPr="005D32DD" w:rsidRDefault="00B67AED" w:rsidP="00B67AED">
      <w:pPr>
        <w:pStyle w:val="Prrafodelista"/>
        <w:numPr>
          <w:ilvl w:val="0"/>
          <w:numId w:val="13"/>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Decreto - Ley 356 de 1994</w:t>
      </w:r>
    </w:p>
    <w:p w14:paraId="49DC952C" w14:textId="77777777" w:rsidR="00B67AED" w:rsidRPr="005D32DD" w:rsidRDefault="00B67AED" w:rsidP="00B67AED">
      <w:pPr>
        <w:pStyle w:val="Prrafodelista"/>
        <w:numPr>
          <w:ilvl w:val="0"/>
          <w:numId w:val="13"/>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Decreto 1989 de 2008, Ley 1819 de 2016 (Art 371.).</w:t>
      </w:r>
    </w:p>
    <w:p w14:paraId="2E53A003" w14:textId="77777777" w:rsidR="00B67AED" w:rsidRPr="005D32DD" w:rsidRDefault="00B67AED" w:rsidP="00B67AED">
      <w:pPr>
        <w:pStyle w:val="Prrafodelista"/>
        <w:numPr>
          <w:ilvl w:val="0"/>
          <w:numId w:val="13"/>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 xml:space="preserve">Normas Internacionales de Información Financiera - NIIF </w:t>
      </w:r>
    </w:p>
    <w:p w14:paraId="592E6390" w14:textId="77777777" w:rsidR="00B67AED" w:rsidRPr="005D32DD" w:rsidRDefault="00B67AED" w:rsidP="00B67AED">
      <w:pPr>
        <w:pStyle w:val="Prrafodelista"/>
        <w:numPr>
          <w:ilvl w:val="0"/>
          <w:numId w:val="13"/>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Normas Internacionales Sector Público NICSP.</w:t>
      </w:r>
    </w:p>
    <w:p w14:paraId="63AE684C" w14:textId="77777777" w:rsidR="00B67AED" w:rsidRPr="005D32DD" w:rsidRDefault="00B67AED" w:rsidP="00B67AED">
      <w:pPr>
        <w:keepNext/>
        <w:numPr>
          <w:ilvl w:val="0"/>
          <w:numId w:val="11"/>
        </w:numPr>
        <w:spacing w:before="240" w:after="60"/>
        <w:outlineLvl w:val="0"/>
        <w:rPr>
          <w:rFonts w:ascii="Verdana" w:hAnsi="Verdana" w:cstheme="minorHAnsi"/>
          <w:b/>
          <w:bCs/>
          <w:kern w:val="32"/>
          <w:sz w:val="22"/>
          <w:szCs w:val="22"/>
        </w:rPr>
      </w:pPr>
      <w:r w:rsidRPr="005D32DD">
        <w:rPr>
          <w:rFonts w:ascii="Verdana" w:hAnsi="Verdana" w:cstheme="minorHAnsi"/>
          <w:b/>
          <w:bCs/>
          <w:kern w:val="32"/>
          <w:sz w:val="22"/>
          <w:szCs w:val="22"/>
        </w:rPr>
        <w:t xml:space="preserve"> </w:t>
      </w:r>
      <w:bookmarkStart w:id="3" w:name="_Toc147830396"/>
      <w:r w:rsidRPr="005D32DD">
        <w:rPr>
          <w:rFonts w:ascii="Verdana" w:hAnsi="Verdana" w:cstheme="minorHAnsi"/>
          <w:b/>
          <w:bCs/>
          <w:kern w:val="32"/>
          <w:sz w:val="22"/>
          <w:szCs w:val="22"/>
        </w:rPr>
        <w:t>ALCANCE</w:t>
      </w:r>
      <w:bookmarkEnd w:id="3"/>
    </w:p>
    <w:p w14:paraId="34E41569"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El instructivo abarca la entrega, recepción y verificación de la información financiera del vigilado a favor de la Superintendencia, pasando por la emisión de la base gravable y tarifa para pago de la cuota de contribución, la revisión del pago y la actualización de expediente del vigilado.</w:t>
      </w:r>
    </w:p>
    <w:p w14:paraId="2D1622E7" w14:textId="77777777" w:rsidR="00B67AED" w:rsidRPr="005D32DD" w:rsidRDefault="00B67AED" w:rsidP="00B67AED">
      <w:pPr>
        <w:jc w:val="both"/>
        <w:rPr>
          <w:rFonts w:ascii="Verdana" w:hAnsi="Verdana" w:cstheme="minorHAnsi"/>
          <w:sz w:val="22"/>
          <w:szCs w:val="22"/>
        </w:rPr>
      </w:pPr>
    </w:p>
    <w:p w14:paraId="4545D5E1" w14:textId="77777777" w:rsidR="00B67AED" w:rsidRPr="005D32DD" w:rsidRDefault="00B67AED" w:rsidP="00B67AED">
      <w:pPr>
        <w:keepNext/>
        <w:numPr>
          <w:ilvl w:val="0"/>
          <w:numId w:val="11"/>
        </w:numPr>
        <w:spacing w:before="240" w:after="60"/>
        <w:outlineLvl w:val="0"/>
        <w:rPr>
          <w:rFonts w:ascii="Verdana" w:hAnsi="Verdana" w:cstheme="minorHAnsi"/>
          <w:b/>
          <w:bCs/>
          <w:kern w:val="32"/>
          <w:sz w:val="22"/>
          <w:szCs w:val="22"/>
        </w:rPr>
      </w:pPr>
      <w:bookmarkStart w:id="4" w:name="_Toc147830397"/>
      <w:r w:rsidRPr="005D32DD">
        <w:rPr>
          <w:rFonts w:ascii="Verdana" w:hAnsi="Verdana" w:cstheme="minorHAnsi"/>
          <w:b/>
          <w:bCs/>
          <w:kern w:val="32"/>
          <w:sz w:val="22"/>
          <w:szCs w:val="22"/>
        </w:rPr>
        <w:t>CONCEPTOS</w:t>
      </w:r>
      <w:bookmarkEnd w:id="4"/>
    </w:p>
    <w:p w14:paraId="232AEA0A" w14:textId="77777777" w:rsidR="00B67AED" w:rsidRPr="005D32DD" w:rsidRDefault="00B67AED" w:rsidP="00B67AED">
      <w:pPr>
        <w:numPr>
          <w:ilvl w:val="0"/>
          <w:numId w:val="12"/>
        </w:numPr>
        <w:spacing w:after="200"/>
        <w:jc w:val="both"/>
        <w:rPr>
          <w:rFonts w:ascii="Verdana" w:hAnsi="Verdana" w:cstheme="minorHAnsi"/>
          <w:bCs/>
          <w:sz w:val="22"/>
          <w:szCs w:val="22"/>
        </w:rPr>
      </w:pPr>
      <w:r w:rsidRPr="005D32DD">
        <w:rPr>
          <w:rFonts w:ascii="Verdana" w:hAnsi="Verdana" w:cstheme="minorHAnsi"/>
          <w:b/>
          <w:bCs/>
          <w:sz w:val="22"/>
          <w:szCs w:val="22"/>
        </w:rPr>
        <w:t xml:space="preserve">BASE GRAVABLE: </w:t>
      </w:r>
      <w:r w:rsidRPr="005D32DD">
        <w:rPr>
          <w:rFonts w:ascii="Verdana" w:hAnsi="Verdana" w:cstheme="minorHAnsi"/>
          <w:bCs/>
          <w:sz w:val="22"/>
          <w:szCs w:val="22"/>
        </w:rPr>
        <w:t>Es el valor sobre el cual se aplica la tarifa de cobro de la cuota de contribución a favor de la superintendencia.</w:t>
      </w:r>
    </w:p>
    <w:p w14:paraId="4061382E" w14:textId="77777777" w:rsidR="00B67AED" w:rsidRPr="005D32DD" w:rsidRDefault="00B67AED" w:rsidP="00B67AED">
      <w:pPr>
        <w:numPr>
          <w:ilvl w:val="0"/>
          <w:numId w:val="12"/>
        </w:numPr>
        <w:spacing w:after="200"/>
        <w:jc w:val="both"/>
        <w:rPr>
          <w:rFonts w:ascii="Verdana" w:hAnsi="Verdana" w:cstheme="minorHAnsi"/>
          <w:bCs/>
          <w:sz w:val="22"/>
          <w:szCs w:val="22"/>
        </w:rPr>
      </w:pPr>
      <w:r w:rsidRPr="005D32DD">
        <w:rPr>
          <w:rFonts w:ascii="Verdana" w:hAnsi="Verdana" w:cstheme="minorHAnsi"/>
          <w:b/>
          <w:bCs/>
          <w:sz w:val="22"/>
          <w:szCs w:val="22"/>
        </w:rPr>
        <w:t xml:space="preserve">RUES: </w:t>
      </w:r>
      <w:r w:rsidRPr="005D32DD">
        <w:rPr>
          <w:rFonts w:ascii="Verdana" w:hAnsi="Verdana" w:cstheme="minorHAnsi"/>
          <w:bCs/>
          <w:sz w:val="22"/>
          <w:szCs w:val="22"/>
        </w:rPr>
        <w:t>Registro Único Empresarial y Social.</w:t>
      </w:r>
    </w:p>
    <w:p w14:paraId="6CB51F8A" w14:textId="77777777" w:rsidR="00B67AED" w:rsidRPr="005D32DD" w:rsidRDefault="00B67AED" w:rsidP="00B67AED">
      <w:pPr>
        <w:numPr>
          <w:ilvl w:val="0"/>
          <w:numId w:val="12"/>
        </w:numPr>
        <w:spacing w:after="200"/>
        <w:jc w:val="both"/>
        <w:rPr>
          <w:rFonts w:ascii="Verdana" w:hAnsi="Verdana" w:cstheme="minorHAnsi"/>
          <w:bCs/>
          <w:sz w:val="22"/>
          <w:szCs w:val="22"/>
        </w:rPr>
      </w:pPr>
      <w:r w:rsidRPr="005D32DD">
        <w:rPr>
          <w:rFonts w:ascii="Verdana" w:hAnsi="Verdana" w:cstheme="minorHAnsi"/>
          <w:b/>
          <w:bCs/>
          <w:sz w:val="22"/>
          <w:szCs w:val="22"/>
        </w:rPr>
        <w:t>REGADS</w:t>
      </w:r>
      <w:r w:rsidRPr="005D32DD">
        <w:rPr>
          <w:rFonts w:ascii="Verdana" w:hAnsi="Verdana" w:cstheme="minorHAnsi"/>
          <w:bCs/>
          <w:sz w:val="22"/>
          <w:szCs w:val="22"/>
        </w:rPr>
        <w:t>: Reporte de gastos de departamento de seguridad.</w:t>
      </w:r>
    </w:p>
    <w:p w14:paraId="7B87E15F" w14:textId="77777777" w:rsidR="00B67AED" w:rsidRPr="005D32DD" w:rsidRDefault="00B67AED" w:rsidP="00B67AED">
      <w:pPr>
        <w:numPr>
          <w:ilvl w:val="0"/>
          <w:numId w:val="12"/>
        </w:numPr>
        <w:spacing w:after="200"/>
        <w:jc w:val="both"/>
        <w:rPr>
          <w:rFonts w:ascii="Verdana" w:hAnsi="Verdana" w:cstheme="minorHAnsi"/>
          <w:bCs/>
          <w:sz w:val="22"/>
          <w:szCs w:val="22"/>
        </w:rPr>
      </w:pPr>
      <w:r w:rsidRPr="005D32DD">
        <w:rPr>
          <w:rFonts w:ascii="Verdana" w:hAnsi="Verdana" w:cstheme="minorHAnsi"/>
          <w:b/>
          <w:bCs/>
          <w:sz w:val="22"/>
          <w:szCs w:val="22"/>
        </w:rPr>
        <w:t>RIFINC:</w:t>
      </w:r>
      <w:r w:rsidRPr="005D32DD">
        <w:rPr>
          <w:rFonts w:ascii="Verdana" w:hAnsi="Verdana" w:cstheme="minorHAnsi"/>
          <w:bCs/>
          <w:sz w:val="22"/>
          <w:szCs w:val="22"/>
        </w:rPr>
        <w:t xml:space="preserve"> Reporte de ingresos e inventarios.</w:t>
      </w:r>
    </w:p>
    <w:p w14:paraId="26DDFD9D" w14:textId="77777777" w:rsidR="00B67AED" w:rsidRPr="005D32DD" w:rsidRDefault="00B67AED" w:rsidP="00B67AED">
      <w:pPr>
        <w:numPr>
          <w:ilvl w:val="0"/>
          <w:numId w:val="12"/>
        </w:numPr>
        <w:spacing w:after="200"/>
        <w:jc w:val="both"/>
        <w:rPr>
          <w:rFonts w:ascii="Verdana" w:hAnsi="Verdana" w:cstheme="minorHAnsi"/>
          <w:bCs/>
          <w:sz w:val="22"/>
          <w:szCs w:val="22"/>
        </w:rPr>
      </w:pPr>
      <w:r w:rsidRPr="005D32DD">
        <w:rPr>
          <w:rFonts w:ascii="Verdana" w:hAnsi="Verdana" w:cstheme="minorHAnsi"/>
          <w:b/>
          <w:bCs/>
          <w:sz w:val="22"/>
          <w:szCs w:val="22"/>
        </w:rPr>
        <w:t xml:space="preserve">EMPLAZAMIENTO: </w:t>
      </w:r>
      <w:r w:rsidRPr="005D32DD">
        <w:rPr>
          <w:rFonts w:ascii="Verdana" w:hAnsi="Verdana" w:cstheme="minorHAnsi"/>
          <w:bCs/>
          <w:sz w:val="22"/>
          <w:szCs w:val="22"/>
        </w:rPr>
        <w:t>Es un comunicado que la entidad envía al contribuyente informándole sobre su obligación formal de presentar su declaración.</w:t>
      </w:r>
    </w:p>
    <w:p w14:paraId="2D572C81" w14:textId="77777777" w:rsidR="00B67AED" w:rsidRPr="005D32DD" w:rsidRDefault="00B67AED" w:rsidP="00B67AED">
      <w:pPr>
        <w:numPr>
          <w:ilvl w:val="0"/>
          <w:numId w:val="12"/>
        </w:numPr>
        <w:spacing w:after="200"/>
        <w:jc w:val="both"/>
        <w:rPr>
          <w:rFonts w:ascii="Verdana" w:hAnsi="Verdana" w:cstheme="minorHAnsi"/>
          <w:b/>
          <w:sz w:val="22"/>
          <w:szCs w:val="22"/>
        </w:rPr>
      </w:pPr>
      <w:r w:rsidRPr="005D32DD">
        <w:rPr>
          <w:rFonts w:ascii="Verdana" w:hAnsi="Verdana" w:cstheme="minorHAnsi"/>
          <w:b/>
          <w:sz w:val="22"/>
          <w:szCs w:val="22"/>
        </w:rPr>
        <w:t xml:space="preserve">VIGILADO: </w:t>
      </w:r>
      <w:r w:rsidRPr="005D32DD">
        <w:rPr>
          <w:rFonts w:ascii="Verdana" w:hAnsi="Verdana" w:cstheme="minorHAnsi"/>
          <w:bCs/>
          <w:sz w:val="22"/>
          <w:szCs w:val="22"/>
        </w:rPr>
        <w:t>Entidad u organización que debe realizar el trámite.</w:t>
      </w:r>
    </w:p>
    <w:p w14:paraId="04531ABF" w14:textId="77777777" w:rsidR="00B67AED" w:rsidRPr="005D32DD" w:rsidRDefault="00B67AED" w:rsidP="00B67AED">
      <w:pPr>
        <w:pStyle w:val="Prrafodelista"/>
        <w:numPr>
          <w:ilvl w:val="0"/>
          <w:numId w:val="11"/>
        </w:numPr>
        <w:suppressAutoHyphens w:val="0"/>
        <w:autoSpaceDN/>
        <w:spacing w:after="200"/>
        <w:contextualSpacing/>
        <w:jc w:val="both"/>
        <w:textAlignment w:val="auto"/>
        <w:rPr>
          <w:rFonts w:ascii="Verdana" w:hAnsi="Verdana" w:cstheme="minorHAnsi"/>
          <w:b/>
          <w:lang w:eastAsia="en-US"/>
        </w:rPr>
      </w:pPr>
      <w:bookmarkStart w:id="5" w:name="_Toc147830398"/>
      <w:r w:rsidRPr="005D32DD">
        <w:rPr>
          <w:rStyle w:val="Ttulo1Car"/>
          <w:rFonts w:ascii="Verdana" w:hAnsi="Verdana" w:cstheme="minorHAnsi"/>
          <w:b/>
          <w:bCs/>
          <w:color w:val="auto"/>
          <w:sz w:val="22"/>
          <w:szCs w:val="22"/>
        </w:rPr>
        <w:t>RESPONSABLE</w:t>
      </w:r>
      <w:bookmarkEnd w:id="5"/>
      <w:r w:rsidRPr="005D32DD">
        <w:rPr>
          <w:rFonts w:ascii="Verdana" w:hAnsi="Verdana" w:cstheme="minorHAnsi"/>
          <w:b/>
          <w:lang w:eastAsia="en-US"/>
        </w:rPr>
        <w:t>.</w:t>
      </w:r>
    </w:p>
    <w:p w14:paraId="0335C89D" w14:textId="77777777" w:rsidR="00B67AED" w:rsidRPr="005D32DD" w:rsidRDefault="00B67AED" w:rsidP="00B67AED">
      <w:pPr>
        <w:pStyle w:val="Prrafodelista"/>
        <w:jc w:val="both"/>
        <w:rPr>
          <w:rFonts w:ascii="Verdana" w:hAnsi="Verdana" w:cstheme="minorHAnsi"/>
        </w:rPr>
      </w:pPr>
      <w:r w:rsidRPr="005D32DD">
        <w:rPr>
          <w:rFonts w:ascii="Verdana" w:hAnsi="Verdana" w:cstheme="minorHAnsi"/>
        </w:rPr>
        <w:t>Grupo de Recursos Financieros.</w:t>
      </w:r>
    </w:p>
    <w:p w14:paraId="415DDD7E" w14:textId="77777777" w:rsidR="00B67AED" w:rsidRPr="005D32DD" w:rsidRDefault="00B67AED" w:rsidP="00B67AED">
      <w:pPr>
        <w:pStyle w:val="Ttulo1"/>
        <w:numPr>
          <w:ilvl w:val="0"/>
          <w:numId w:val="11"/>
        </w:numPr>
        <w:rPr>
          <w:rFonts w:ascii="Verdana" w:hAnsi="Verdana" w:cstheme="minorHAnsi"/>
          <w:b/>
          <w:bCs/>
          <w:color w:val="auto"/>
          <w:sz w:val="22"/>
          <w:szCs w:val="22"/>
          <w:lang w:eastAsia="en-US"/>
        </w:rPr>
      </w:pPr>
      <w:bookmarkStart w:id="6" w:name="_Toc147830399"/>
      <w:r w:rsidRPr="005D32DD">
        <w:rPr>
          <w:rFonts w:ascii="Verdana" w:hAnsi="Verdana" w:cstheme="minorHAnsi"/>
          <w:b/>
          <w:bCs/>
          <w:color w:val="auto"/>
          <w:sz w:val="22"/>
          <w:szCs w:val="22"/>
          <w:lang w:eastAsia="en-US"/>
        </w:rPr>
        <w:t>RECEPCIÓN DE INFORMACIÓN</w:t>
      </w:r>
      <w:bookmarkEnd w:id="6"/>
    </w:p>
    <w:p w14:paraId="4906F5EE"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El profesional de la labor debe conocer la clasificación del tipo de servicio de cada vigilado a favor de la Superintendencia y la información que debe reportar cada uno de ellos para realizar la recepción de la información. Por lo anterior, se muestra la siguiente tabla:</w:t>
      </w:r>
    </w:p>
    <w:p w14:paraId="2B157D0F" w14:textId="77777777" w:rsidR="00B67AED" w:rsidRPr="005D32DD" w:rsidRDefault="00B67AED" w:rsidP="00B67AED">
      <w:pPr>
        <w:pStyle w:val="Descripcin"/>
        <w:jc w:val="center"/>
        <w:rPr>
          <w:rFonts w:ascii="Verdana" w:hAnsi="Verdana" w:cstheme="minorHAnsi"/>
          <w:b/>
          <w:bCs/>
          <w:color w:val="auto"/>
          <w:sz w:val="22"/>
          <w:szCs w:val="22"/>
        </w:rPr>
      </w:pPr>
      <w:bookmarkStart w:id="7" w:name="_Toc148523344"/>
      <w:r w:rsidRPr="005D32DD">
        <w:rPr>
          <w:rFonts w:ascii="Verdana" w:hAnsi="Verdana" w:cstheme="minorHAnsi"/>
          <w:b/>
          <w:bCs/>
          <w:color w:val="auto"/>
          <w:sz w:val="22"/>
          <w:szCs w:val="22"/>
        </w:rPr>
        <w:t xml:space="preserve">Tabla </w:t>
      </w:r>
      <w:r w:rsidRPr="005D32DD">
        <w:rPr>
          <w:rFonts w:ascii="Verdana" w:hAnsi="Verdana" w:cstheme="minorHAnsi"/>
          <w:b/>
          <w:bCs/>
          <w:color w:val="auto"/>
          <w:sz w:val="22"/>
          <w:szCs w:val="22"/>
        </w:rPr>
        <w:fldChar w:fldCharType="begin"/>
      </w:r>
      <w:r w:rsidRPr="005D32DD">
        <w:rPr>
          <w:rFonts w:ascii="Verdana" w:hAnsi="Verdana" w:cstheme="minorHAnsi"/>
          <w:b/>
          <w:bCs/>
          <w:color w:val="auto"/>
          <w:sz w:val="22"/>
          <w:szCs w:val="22"/>
        </w:rPr>
        <w:instrText xml:space="preserve"> SEQ Tabla \* ARABIC </w:instrText>
      </w:r>
      <w:r w:rsidRPr="005D32DD">
        <w:rPr>
          <w:rFonts w:ascii="Verdana" w:hAnsi="Verdana" w:cstheme="minorHAnsi"/>
          <w:b/>
          <w:bCs/>
          <w:color w:val="auto"/>
          <w:sz w:val="22"/>
          <w:szCs w:val="22"/>
        </w:rPr>
        <w:fldChar w:fldCharType="separate"/>
      </w:r>
      <w:r w:rsidRPr="005D32DD">
        <w:rPr>
          <w:rFonts w:ascii="Verdana" w:hAnsi="Verdana" w:cstheme="minorHAnsi"/>
          <w:b/>
          <w:bCs/>
          <w:noProof/>
          <w:color w:val="auto"/>
          <w:sz w:val="22"/>
          <w:szCs w:val="22"/>
        </w:rPr>
        <w:t>1</w:t>
      </w:r>
      <w:r w:rsidRPr="005D32DD">
        <w:rPr>
          <w:rFonts w:ascii="Verdana" w:hAnsi="Verdana" w:cstheme="minorHAnsi"/>
          <w:b/>
          <w:bCs/>
          <w:color w:val="auto"/>
          <w:sz w:val="22"/>
          <w:szCs w:val="22"/>
        </w:rPr>
        <w:fldChar w:fldCharType="end"/>
      </w:r>
      <w:r w:rsidRPr="005D32DD">
        <w:rPr>
          <w:rFonts w:ascii="Verdana" w:hAnsi="Verdana" w:cstheme="minorHAnsi"/>
          <w:b/>
          <w:bCs/>
          <w:color w:val="auto"/>
          <w:sz w:val="22"/>
          <w:szCs w:val="22"/>
        </w:rPr>
        <w:t>: Clasificación del tipo de servicio y la información a reportar.</w:t>
      </w:r>
      <w:bookmarkEnd w:id="7"/>
    </w:p>
    <w:tbl>
      <w:tblPr>
        <w:tblStyle w:val="Tablaconcuadrcula"/>
        <w:tblW w:w="9333" w:type="dxa"/>
        <w:tblLook w:val="04A0" w:firstRow="1" w:lastRow="0" w:firstColumn="1" w:lastColumn="0" w:noHBand="0" w:noVBand="1"/>
      </w:tblPr>
      <w:tblGrid>
        <w:gridCol w:w="4673"/>
        <w:gridCol w:w="4660"/>
      </w:tblGrid>
      <w:tr w:rsidR="00B67AED" w:rsidRPr="005D32DD" w14:paraId="0D6987E1" w14:textId="77777777" w:rsidTr="00084B5A">
        <w:trPr>
          <w:trHeight w:val="508"/>
          <w:tblHeader/>
        </w:trPr>
        <w:tc>
          <w:tcPr>
            <w:tcW w:w="4673" w:type="dxa"/>
            <w:vAlign w:val="center"/>
          </w:tcPr>
          <w:p w14:paraId="726B7ADE" w14:textId="77777777" w:rsidR="00B67AED" w:rsidRPr="005D32DD" w:rsidRDefault="00B67AED" w:rsidP="00084B5A">
            <w:pPr>
              <w:jc w:val="center"/>
              <w:rPr>
                <w:rFonts w:ascii="Verdana" w:hAnsi="Verdana" w:cstheme="minorHAnsi"/>
                <w:b/>
                <w:bCs/>
              </w:rPr>
            </w:pPr>
            <w:r w:rsidRPr="005D32DD">
              <w:rPr>
                <w:rFonts w:ascii="Verdana" w:hAnsi="Verdana" w:cstheme="minorHAnsi"/>
              </w:rPr>
              <w:t xml:space="preserve"> </w:t>
            </w:r>
            <w:r w:rsidRPr="005D32DD">
              <w:rPr>
                <w:rFonts w:ascii="Verdana" w:hAnsi="Verdana" w:cstheme="minorHAnsi"/>
                <w:b/>
                <w:bCs/>
              </w:rPr>
              <w:t>TIPO DE SERVICIO</w:t>
            </w:r>
          </w:p>
        </w:tc>
        <w:tc>
          <w:tcPr>
            <w:tcW w:w="4660" w:type="dxa"/>
            <w:vAlign w:val="center"/>
          </w:tcPr>
          <w:p w14:paraId="20558F5C"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INFORMACIÓN PARA REPORTAR</w:t>
            </w:r>
          </w:p>
        </w:tc>
      </w:tr>
      <w:tr w:rsidR="00B67AED" w:rsidRPr="005D32DD" w14:paraId="1A9E5BFB" w14:textId="77777777" w:rsidTr="00084B5A">
        <w:trPr>
          <w:trHeight w:val="699"/>
        </w:trPr>
        <w:tc>
          <w:tcPr>
            <w:tcW w:w="4673" w:type="dxa"/>
            <w:vAlign w:val="center"/>
          </w:tcPr>
          <w:p w14:paraId="248E72D8" w14:textId="77777777" w:rsidR="00B67AED" w:rsidRPr="005D32DD" w:rsidRDefault="00B67AED" w:rsidP="00084B5A">
            <w:pPr>
              <w:rPr>
                <w:rFonts w:ascii="Verdana" w:hAnsi="Verdana" w:cstheme="minorHAnsi"/>
              </w:rPr>
            </w:pPr>
            <w:r w:rsidRPr="005D32DD">
              <w:rPr>
                <w:rFonts w:ascii="Verdana" w:hAnsi="Verdana" w:cstheme="minorHAnsi"/>
              </w:rPr>
              <w:t>Empresas y Cooperativas de Vigilancia y Seguridad Privada</w:t>
            </w:r>
          </w:p>
        </w:tc>
        <w:tc>
          <w:tcPr>
            <w:tcW w:w="4660" w:type="dxa"/>
            <w:vMerge w:val="restart"/>
            <w:vAlign w:val="center"/>
          </w:tcPr>
          <w:p w14:paraId="07D8937A" w14:textId="77777777" w:rsidR="00B67AED" w:rsidRPr="005D32DD" w:rsidRDefault="00B67AED" w:rsidP="00084B5A">
            <w:pPr>
              <w:jc w:val="both"/>
              <w:rPr>
                <w:rFonts w:ascii="Verdana" w:hAnsi="Verdana" w:cstheme="minorHAnsi"/>
              </w:rPr>
            </w:pPr>
            <w:r w:rsidRPr="005D32DD">
              <w:rPr>
                <w:rFonts w:ascii="Verdana" w:hAnsi="Verdana" w:cstheme="minorHAnsi"/>
              </w:rPr>
              <w:t>Estados Financieros aplicando lo definido en la Ley 1314 de 2009 y sus decretos reglamentarios, de conformidad al Grupo al que pertenecen con corte a 31 de diciembre del año inmediatamente anterior.</w:t>
            </w:r>
          </w:p>
        </w:tc>
      </w:tr>
      <w:tr w:rsidR="00B67AED" w:rsidRPr="005D32DD" w14:paraId="6A780721" w14:textId="77777777" w:rsidTr="00084B5A">
        <w:trPr>
          <w:trHeight w:val="762"/>
        </w:trPr>
        <w:tc>
          <w:tcPr>
            <w:tcW w:w="4673" w:type="dxa"/>
            <w:vAlign w:val="center"/>
          </w:tcPr>
          <w:p w14:paraId="483B698D" w14:textId="77777777" w:rsidR="00B67AED" w:rsidRPr="005D32DD" w:rsidRDefault="00B67AED" w:rsidP="00084B5A">
            <w:pPr>
              <w:rPr>
                <w:rFonts w:ascii="Verdana" w:hAnsi="Verdana" w:cstheme="minorHAnsi"/>
              </w:rPr>
            </w:pPr>
            <w:r w:rsidRPr="005D32DD">
              <w:rPr>
                <w:rFonts w:ascii="Verdana" w:hAnsi="Verdana" w:cstheme="minorHAnsi"/>
              </w:rPr>
              <w:t>Empresas Asesoras, consultoras e investigadoras en Vigilancia y Seguridad Privada, incluyendo los de poligrafía.</w:t>
            </w:r>
          </w:p>
        </w:tc>
        <w:tc>
          <w:tcPr>
            <w:tcW w:w="4660" w:type="dxa"/>
            <w:vMerge/>
            <w:vAlign w:val="center"/>
          </w:tcPr>
          <w:p w14:paraId="2A4D16FF" w14:textId="77777777" w:rsidR="00B67AED" w:rsidRPr="005D32DD" w:rsidRDefault="00B67AED" w:rsidP="00084B5A">
            <w:pPr>
              <w:jc w:val="both"/>
              <w:rPr>
                <w:rFonts w:ascii="Verdana" w:hAnsi="Verdana" w:cstheme="minorHAnsi"/>
              </w:rPr>
            </w:pPr>
          </w:p>
        </w:tc>
      </w:tr>
      <w:tr w:rsidR="00B67AED" w:rsidRPr="005D32DD" w14:paraId="192C201D" w14:textId="77777777" w:rsidTr="00084B5A">
        <w:trPr>
          <w:trHeight w:val="660"/>
        </w:trPr>
        <w:tc>
          <w:tcPr>
            <w:tcW w:w="4673" w:type="dxa"/>
            <w:vAlign w:val="center"/>
          </w:tcPr>
          <w:p w14:paraId="19B67CAB" w14:textId="77777777" w:rsidR="00B67AED" w:rsidRPr="005D32DD" w:rsidRDefault="00B67AED" w:rsidP="00084B5A">
            <w:pPr>
              <w:rPr>
                <w:rFonts w:ascii="Verdana" w:hAnsi="Verdana" w:cstheme="minorHAnsi"/>
              </w:rPr>
            </w:pPr>
            <w:r w:rsidRPr="005D32DD">
              <w:rPr>
                <w:rFonts w:ascii="Verdana" w:hAnsi="Verdana" w:cstheme="minorHAnsi"/>
              </w:rPr>
              <w:t>Escuelas de Capacitación y entrenamiento en Vigilancia y Seguridad Privada.</w:t>
            </w:r>
          </w:p>
        </w:tc>
        <w:tc>
          <w:tcPr>
            <w:tcW w:w="4660" w:type="dxa"/>
            <w:vMerge/>
            <w:vAlign w:val="center"/>
          </w:tcPr>
          <w:p w14:paraId="08D97362" w14:textId="77777777" w:rsidR="00B67AED" w:rsidRPr="005D32DD" w:rsidRDefault="00B67AED" w:rsidP="00084B5A">
            <w:pPr>
              <w:jc w:val="both"/>
              <w:rPr>
                <w:rFonts w:ascii="Verdana" w:hAnsi="Verdana" w:cstheme="minorHAnsi"/>
              </w:rPr>
            </w:pPr>
          </w:p>
        </w:tc>
      </w:tr>
      <w:tr w:rsidR="00B67AED" w:rsidRPr="005D32DD" w14:paraId="3CC00306" w14:textId="77777777" w:rsidTr="00084B5A">
        <w:trPr>
          <w:trHeight w:val="568"/>
        </w:trPr>
        <w:tc>
          <w:tcPr>
            <w:tcW w:w="4673" w:type="dxa"/>
            <w:vAlign w:val="center"/>
          </w:tcPr>
          <w:p w14:paraId="4CD8C423" w14:textId="77777777" w:rsidR="00B67AED" w:rsidRPr="005D32DD" w:rsidRDefault="00B67AED" w:rsidP="00084B5A">
            <w:pPr>
              <w:rPr>
                <w:rFonts w:ascii="Verdana" w:hAnsi="Verdana" w:cstheme="minorHAnsi"/>
              </w:rPr>
            </w:pPr>
            <w:r w:rsidRPr="005D32DD">
              <w:rPr>
                <w:rFonts w:ascii="Verdana" w:hAnsi="Verdana" w:cstheme="minorHAnsi"/>
              </w:rPr>
              <w:lastRenderedPageBreak/>
              <w:t>Transportadoras de Valores.</w:t>
            </w:r>
          </w:p>
        </w:tc>
        <w:tc>
          <w:tcPr>
            <w:tcW w:w="4660" w:type="dxa"/>
            <w:vMerge/>
            <w:vAlign w:val="center"/>
          </w:tcPr>
          <w:p w14:paraId="32E9571F" w14:textId="77777777" w:rsidR="00B67AED" w:rsidRPr="005D32DD" w:rsidRDefault="00B67AED" w:rsidP="00084B5A">
            <w:pPr>
              <w:jc w:val="both"/>
              <w:rPr>
                <w:rFonts w:ascii="Verdana" w:hAnsi="Verdana" w:cstheme="minorHAnsi"/>
              </w:rPr>
            </w:pPr>
          </w:p>
        </w:tc>
      </w:tr>
      <w:tr w:rsidR="00B67AED" w:rsidRPr="005D32DD" w14:paraId="5DEF8FA8" w14:textId="77777777" w:rsidTr="00084B5A">
        <w:trPr>
          <w:trHeight w:val="652"/>
        </w:trPr>
        <w:tc>
          <w:tcPr>
            <w:tcW w:w="4673" w:type="dxa"/>
            <w:vAlign w:val="center"/>
          </w:tcPr>
          <w:p w14:paraId="2D40D0F3" w14:textId="77777777" w:rsidR="00B67AED" w:rsidRPr="005D32DD" w:rsidRDefault="00B67AED" w:rsidP="00084B5A">
            <w:pPr>
              <w:rPr>
                <w:rFonts w:ascii="Verdana" w:hAnsi="Verdana" w:cstheme="minorHAnsi"/>
              </w:rPr>
            </w:pPr>
            <w:r w:rsidRPr="005D32DD">
              <w:rPr>
                <w:rFonts w:ascii="Verdana" w:hAnsi="Verdana" w:cstheme="minorHAnsi"/>
              </w:rPr>
              <w:t xml:space="preserve">Arrendadoras de vehículos Blindados y </w:t>
            </w:r>
            <w:proofErr w:type="spellStart"/>
            <w:r w:rsidRPr="005D32DD">
              <w:rPr>
                <w:rFonts w:ascii="Verdana" w:hAnsi="Verdana" w:cstheme="minorHAnsi"/>
              </w:rPr>
              <w:t>Blindadoras</w:t>
            </w:r>
            <w:proofErr w:type="spellEnd"/>
          </w:p>
        </w:tc>
        <w:tc>
          <w:tcPr>
            <w:tcW w:w="4660" w:type="dxa"/>
            <w:vMerge/>
            <w:vAlign w:val="center"/>
          </w:tcPr>
          <w:p w14:paraId="2A9CD6F7" w14:textId="77777777" w:rsidR="00B67AED" w:rsidRPr="005D32DD" w:rsidRDefault="00B67AED" w:rsidP="00084B5A">
            <w:pPr>
              <w:jc w:val="both"/>
              <w:rPr>
                <w:rFonts w:ascii="Verdana" w:hAnsi="Verdana" w:cstheme="minorHAnsi"/>
              </w:rPr>
            </w:pPr>
          </w:p>
        </w:tc>
      </w:tr>
      <w:tr w:rsidR="00B67AED" w:rsidRPr="005D32DD" w14:paraId="62558536" w14:textId="77777777" w:rsidTr="00084B5A">
        <w:trPr>
          <w:trHeight w:val="2570"/>
        </w:trPr>
        <w:tc>
          <w:tcPr>
            <w:tcW w:w="4673" w:type="dxa"/>
            <w:vAlign w:val="center"/>
          </w:tcPr>
          <w:p w14:paraId="4A66F646" w14:textId="77777777" w:rsidR="00B67AED" w:rsidRPr="005D32DD" w:rsidRDefault="00B67AED" w:rsidP="00084B5A">
            <w:pPr>
              <w:rPr>
                <w:rFonts w:ascii="Verdana" w:hAnsi="Verdana" w:cstheme="minorHAnsi"/>
              </w:rPr>
            </w:pPr>
            <w:r w:rsidRPr="005D32DD">
              <w:rPr>
                <w:rFonts w:ascii="Verdana" w:hAnsi="Verdana" w:cstheme="minorHAnsi"/>
              </w:rPr>
              <w:t>Departamentos de Seguridad y Servicios Comunitarios.</w:t>
            </w:r>
          </w:p>
        </w:tc>
        <w:tc>
          <w:tcPr>
            <w:tcW w:w="4660" w:type="dxa"/>
            <w:vAlign w:val="center"/>
          </w:tcPr>
          <w:p w14:paraId="6B02B7E4" w14:textId="77777777" w:rsidR="00B67AED" w:rsidRPr="005D32DD" w:rsidRDefault="00B67AED" w:rsidP="00084B5A">
            <w:pPr>
              <w:jc w:val="both"/>
              <w:rPr>
                <w:rFonts w:ascii="Verdana" w:hAnsi="Verdana" w:cstheme="minorHAnsi"/>
              </w:rPr>
            </w:pPr>
            <w:r w:rsidRPr="005D32DD">
              <w:rPr>
                <w:rFonts w:ascii="Verdana" w:hAnsi="Verdana" w:cstheme="minorHAnsi"/>
              </w:rPr>
              <w:t>Valor total de la nómina empleada, incluyendo todos los gastos y prestaciones sociales de cualquier denominación, con corte a 31 de diciembre del año inmediatamente anterior, sin incluir los aportes efectuados al sistema integral de seguridad social, al SENA, ICBF, y Cajas de Compensación Familiar que estén a cargo de la Empresa.</w:t>
            </w:r>
          </w:p>
        </w:tc>
      </w:tr>
      <w:tr w:rsidR="00B67AED" w:rsidRPr="005D32DD" w14:paraId="2DDCEAD6" w14:textId="77777777" w:rsidTr="00084B5A">
        <w:trPr>
          <w:trHeight w:val="777"/>
        </w:trPr>
        <w:tc>
          <w:tcPr>
            <w:tcW w:w="4673" w:type="dxa"/>
            <w:vAlign w:val="center"/>
          </w:tcPr>
          <w:p w14:paraId="05E44B4D" w14:textId="77777777" w:rsidR="00B67AED" w:rsidRPr="005D32DD" w:rsidRDefault="00B67AED" w:rsidP="00084B5A">
            <w:pPr>
              <w:rPr>
                <w:rFonts w:ascii="Verdana" w:hAnsi="Verdana" w:cstheme="minorHAnsi"/>
              </w:rPr>
            </w:pPr>
            <w:r w:rsidRPr="005D32DD">
              <w:rPr>
                <w:rFonts w:ascii="Verdana" w:hAnsi="Verdana" w:cstheme="minorHAnsi"/>
              </w:rPr>
              <w:t>Empresas Asesoras, consultoras e investigadoras en Vigilancia y Seguridad Privada, incluyendo los de poligrafía.</w:t>
            </w:r>
          </w:p>
        </w:tc>
        <w:tc>
          <w:tcPr>
            <w:tcW w:w="4660" w:type="dxa"/>
            <w:vMerge w:val="restart"/>
            <w:vAlign w:val="center"/>
          </w:tcPr>
          <w:p w14:paraId="222984EB" w14:textId="77777777" w:rsidR="00B67AED" w:rsidRPr="005D32DD" w:rsidRDefault="00B67AED" w:rsidP="00084B5A">
            <w:pPr>
              <w:jc w:val="both"/>
              <w:rPr>
                <w:rFonts w:ascii="Verdana" w:hAnsi="Verdana" w:cstheme="minorHAnsi"/>
              </w:rPr>
            </w:pPr>
            <w:r w:rsidRPr="005D32DD">
              <w:rPr>
                <w:rFonts w:ascii="Verdana" w:hAnsi="Verdana" w:cstheme="minorHAnsi"/>
              </w:rPr>
              <w:t>Reporte del Valor de los Ingresos brutos percibidos por la actividad realizada, con corte a 31 de diciembre del año inmediatamente anterior.</w:t>
            </w:r>
          </w:p>
        </w:tc>
      </w:tr>
      <w:tr w:rsidR="00B67AED" w:rsidRPr="005D32DD" w14:paraId="32243E48" w14:textId="77777777" w:rsidTr="00084B5A">
        <w:trPr>
          <w:trHeight w:val="896"/>
        </w:trPr>
        <w:tc>
          <w:tcPr>
            <w:tcW w:w="4673" w:type="dxa"/>
            <w:vAlign w:val="center"/>
          </w:tcPr>
          <w:p w14:paraId="0F29E7D1" w14:textId="77777777" w:rsidR="00B67AED" w:rsidRPr="005D32DD" w:rsidRDefault="00B67AED" w:rsidP="00084B5A">
            <w:pPr>
              <w:rPr>
                <w:rFonts w:ascii="Verdana" w:hAnsi="Verdana" w:cstheme="minorHAnsi"/>
              </w:rPr>
            </w:pPr>
            <w:r w:rsidRPr="005D32DD">
              <w:rPr>
                <w:rFonts w:ascii="Verdana" w:hAnsi="Verdana" w:cstheme="minorHAnsi"/>
              </w:rPr>
              <w:t>Asesores, consultores e investigadores en Vigilancia y Seguridad Privada Personas Naturales, incluyendo los de poligrafía.</w:t>
            </w:r>
          </w:p>
        </w:tc>
        <w:tc>
          <w:tcPr>
            <w:tcW w:w="4660" w:type="dxa"/>
            <w:vMerge/>
            <w:vAlign w:val="center"/>
          </w:tcPr>
          <w:p w14:paraId="55AEE8C2" w14:textId="77777777" w:rsidR="00B67AED" w:rsidRPr="005D32DD" w:rsidRDefault="00B67AED" w:rsidP="00084B5A">
            <w:pPr>
              <w:jc w:val="both"/>
              <w:rPr>
                <w:rFonts w:ascii="Verdana" w:hAnsi="Verdana" w:cstheme="minorHAnsi"/>
              </w:rPr>
            </w:pPr>
          </w:p>
        </w:tc>
      </w:tr>
      <w:tr w:rsidR="00B67AED" w:rsidRPr="005D32DD" w14:paraId="3B2A3427" w14:textId="77777777" w:rsidTr="00084B5A">
        <w:trPr>
          <w:trHeight w:val="1016"/>
        </w:trPr>
        <w:tc>
          <w:tcPr>
            <w:tcW w:w="4673" w:type="dxa"/>
            <w:vAlign w:val="center"/>
          </w:tcPr>
          <w:p w14:paraId="337627E6" w14:textId="77777777" w:rsidR="00B67AED" w:rsidRPr="005D32DD" w:rsidRDefault="00B67AED" w:rsidP="00084B5A">
            <w:pPr>
              <w:rPr>
                <w:rFonts w:ascii="Verdana" w:hAnsi="Verdana" w:cstheme="minorHAnsi"/>
              </w:rPr>
            </w:pPr>
            <w:r w:rsidRPr="005D32DD">
              <w:rPr>
                <w:rFonts w:ascii="Verdana" w:hAnsi="Verdana" w:cstheme="minorHAnsi"/>
              </w:rPr>
              <w:t>Quienes ejercen actividades de importación, fabricación instalación y comercialización de equipos, sistemas y medios tecnológicos para vigilancia y seguridad privada.</w:t>
            </w:r>
          </w:p>
        </w:tc>
        <w:tc>
          <w:tcPr>
            <w:tcW w:w="4660" w:type="dxa"/>
            <w:vMerge/>
            <w:vAlign w:val="center"/>
          </w:tcPr>
          <w:p w14:paraId="56E570EE" w14:textId="77777777" w:rsidR="00B67AED" w:rsidRPr="005D32DD" w:rsidRDefault="00B67AED" w:rsidP="00084B5A">
            <w:pPr>
              <w:jc w:val="both"/>
              <w:rPr>
                <w:rFonts w:ascii="Verdana" w:hAnsi="Verdana" w:cstheme="minorHAnsi"/>
              </w:rPr>
            </w:pPr>
          </w:p>
        </w:tc>
      </w:tr>
    </w:tbl>
    <w:p w14:paraId="5D1F7FE7" w14:textId="77777777" w:rsidR="00B67AED" w:rsidRPr="005D32DD" w:rsidRDefault="00B67AED" w:rsidP="00B67AED">
      <w:pPr>
        <w:spacing w:after="200"/>
        <w:jc w:val="both"/>
        <w:rPr>
          <w:rFonts w:ascii="Verdana" w:hAnsi="Verdana" w:cstheme="minorHAnsi"/>
          <w:sz w:val="22"/>
          <w:szCs w:val="22"/>
        </w:rPr>
      </w:pPr>
    </w:p>
    <w:p w14:paraId="1C7AA28D"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 xml:space="preserve">El Vigilado debe reportar la información financiera, a través del aplicativo que disponga la entidad para tal fin, teniendo encuentra los lineamientos establecidos en la resolución emitida anualmente por la entidad y fundamentado de acuerdo a lo señalado en el artículo 15 de la Constitución Nacional, el Decreto 356 de 1994 en el Capítulo II en los artículos 52, 53, 55 y 57, en el Capítulo III en los artículos 60, 61 y 62, el artículo 4 del Decreto 2355 de 2006, el anexo 20 de la circular 21 del 22 de septiembre de 2015 del Ministerio De Comercio, Industria Y Turismo y lo contemplado en la resolución No. 20183200021567 de 23 de marzo de 2018, expedida por la Superintendencia de Vigilancia y Seguridad Privada. </w:t>
      </w:r>
    </w:p>
    <w:p w14:paraId="4F483375" w14:textId="77777777" w:rsidR="00B67AED" w:rsidRPr="005D32DD" w:rsidRDefault="00B67AED" w:rsidP="00B67AED">
      <w:pPr>
        <w:pStyle w:val="Descripcin"/>
        <w:jc w:val="center"/>
        <w:rPr>
          <w:rFonts w:ascii="Verdana" w:hAnsi="Verdana" w:cstheme="minorHAnsi"/>
          <w:sz w:val="22"/>
          <w:szCs w:val="22"/>
          <w:lang w:eastAsia="en-US"/>
        </w:rPr>
      </w:pPr>
      <w:bookmarkStart w:id="8" w:name="_Toc148523345"/>
      <w:r w:rsidRPr="005D32DD">
        <w:rPr>
          <w:rFonts w:ascii="Verdana" w:hAnsi="Verdana" w:cstheme="minorHAnsi"/>
          <w:b/>
          <w:bCs/>
          <w:color w:val="auto"/>
          <w:sz w:val="22"/>
          <w:szCs w:val="22"/>
        </w:rPr>
        <w:t xml:space="preserve">Tabla </w:t>
      </w:r>
      <w:r w:rsidRPr="005D32DD">
        <w:rPr>
          <w:rFonts w:ascii="Verdana" w:hAnsi="Verdana" w:cstheme="minorHAnsi"/>
          <w:b/>
          <w:bCs/>
          <w:color w:val="auto"/>
          <w:sz w:val="22"/>
          <w:szCs w:val="22"/>
        </w:rPr>
        <w:fldChar w:fldCharType="begin"/>
      </w:r>
      <w:r w:rsidRPr="005D32DD">
        <w:rPr>
          <w:rFonts w:ascii="Verdana" w:hAnsi="Verdana" w:cstheme="minorHAnsi"/>
          <w:b/>
          <w:bCs/>
          <w:color w:val="auto"/>
          <w:sz w:val="22"/>
          <w:szCs w:val="22"/>
        </w:rPr>
        <w:instrText xml:space="preserve"> SEQ Tabla \* ARABIC </w:instrText>
      </w:r>
      <w:r w:rsidRPr="005D32DD">
        <w:rPr>
          <w:rFonts w:ascii="Verdana" w:hAnsi="Verdana" w:cstheme="minorHAnsi"/>
          <w:b/>
          <w:bCs/>
          <w:color w:val="auto"/>
          <w:sz w:val="22"/>
          <w:szCs w:val="22"/>
        </w:rPr>
        <w:fldChar w:fldCharType="separate"/>
      </w:r>
      <w:r w:rsidRPr="005D32DD">
        <w:rPr>
          <w:rFonts w:ascii="Verdana" w:hAnsi="Verdana" w:cstheme="minorHAnsi"/>
          <w:b/>
          <w:bCs/>
          <w:noProof/>
          <w:color w:val="auto"/>
          <w:sz w:val="22"/>
          <w:szCs w:val="22"/>
        </w:rPr>
        <w:t>2</w:t>
      </w:r>
      <w:r w:rsidRPr="005D32DD">
        <w:rPr>
          <w:rFonts w:ascii="Verdana" w:hAnsi="Verdana" w:cstheme="minorHAnsi"/>
          <w:b/>
          <w:bCs/>
          <w:color w:val="auto"/>
          <w:sz w:val="22"/>
          <w:szCs w:val="22"/>
        </w:rPr>
        <w:fldChar w:fldCharType="end"/>
      </w:r>
      <w:r w:rsidRPr="005D32DD">
        <w:rPr>
          <w:rFonts w:ascii="Verdana" w:hAnsi="Verdana" w:cstheme="minorHAnsi"/>
          <w:b/>
          <w:bCs/>
          <w:color w:val="auto"/>
          <w:sz w:val="22"/>
          <w:szCs w:val="22"/>
        </w:rPr>
        <w:t>: Documentos requeridos por los vigilados.</w:t>
      </w:r>
      <w:bookmarkEnd w:id="8"/>
    </w:p>
    <w:tbl>
      <w:tblPr>
        <w:tblStyle w:val="Tablaconcuadrcula"/>
        <w:tblW w:w="9393" w:type="dxa"/>
        <w:jc w:val="center"/>
        <w:tblLayout w:type="fixed"/>
        <w:tblLook w:val="04A0" w:firstRow="1" w:lastRow="0" w:firstColumn="1" w:lastColumn="0" w:noHBand="0" w:noVBand="1"/>
      </w:tblPr>
      <w:tblGrid>
        <w:gridCol w:w="410"/>
        <w:gridCol w:w="4837"/>
        <w:gridCol w:w="1658"/>
        <w:gridCol w:w="1244"/>
        <w:gridCol w:w="1244"/>
      </w:tblGrid>
      <w:tr w:rsidR="00B67AED" w:rsidRPr="005D32DD" w14:paraId="598C414C" w14:textId="77777777" w:rsidTr="00084B5A">
        <w:trPr>
          <w:trHeight w:val="256"/>
          <w:tblHeader/>
          <w:jc w:val="center"/>
        </w:trPr>
        <w:tc>
          <w:tcPr>
            <w:tcW w:w="410" w:type="dxa"/>
            <w:vMerge w:val="restart"/>
            <w:vAlign w:val="center"/>
          </w:tcPr>
          <w:p w14:paraId="1FEAE0E1"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L</w:t>
            </w:r>
          </w:p>
          <w:p w14:paraId="10C1D542"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I</w:t>
            </w:r>
          </w:p>
          <w:p w14:paraId="771EFD52"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T</w:t>
            </w:r>
          </w:p>
          <w:p w14:paraId="7AE92367"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E</w:t>
            </w:r>
          </w:p>
          <w:p w14:paraId="5D0026EB"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R</w:t>
            </w:r>
          </w:p>
          <w:p w14:paraId="69E1F2FD"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A</w:t>
            </w:r>
          </w:p>
          <w:p w14:paraId="1C33CA26"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L</w:t>
            </w:r>
          </w:p>
        </w:tc>
        <w:tc>
          <w:tcPr>
            <w:tcW w:w="4837" w:type="dxa"/>
            <w:vMerge w:val="restart"/>
            <w:vAlign w:val="center"/>
          </w:tcPr>
          <w:p w14:paraId="09DEDF69" w14:textId="77777777" w:rsidR="00B67AED" w:rsidRPr="005D32DD" w:rsidRDefault="00B67AED" w:rsidP="00084B5A">
            <w:pPr>
              <w:jc w:val="center"/>
              <w:rPr>
                <w:rFonts w:ascii="Verdana" w:hAnsi="Verdana" w:cstheme="minorHAnsi"/>
                <w:b/>
                <w:bCs/>
              </w:rPr>
            </w:pPr>
          </w:p>
          <w:p w14:paraId="462D7D2F"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Tipo de Servicio</w:t>
            </w:r>
          </w:p>
        </w:tc>
        <w:tc>
          <w:tcPr>
            <w:tcW w:w="4146" w:type="dxa"/>
            <w:gridSpan w:val="3"/>
            <w:vAlign w:val="center"/>
          </w:tcPr>
          <w:p w14:paraId="5A285D33"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Información financiera requerida</w:t>
            </w:r>
          </w:p>
        </w:tc>
      </w:tr>
      <w:tr w:rsidR="00B67AED" w:rsidRPr="005D32DD" w14:paraId="060AAAD0" w14:textId="77777777" w:rsidTr="00084B5A">
        <w:trPr>
          <w:trHeight w:val="821"/>
          <w:tblHeader/>
          <w:jc w:val="center"/>
        </w:trPr>
        <w:tc>
          <w:tcPr>
            <w:tcW w:w="410" w:type="dxa"/>
            <w:vMerge/>
            <w:vAlign w:val="center"/>
          </w:tcPr>
          <w:p w14:paraId="74B1DD4B" w14:textId="77777777" w:rsidR="00B67AED" w:rsidRPr="005D32DD" w:rsidRDefault="00B67AED" w:rsidP="00084B5A">
            <w:pPr>
              <w:jc w:val="center"/>
              <w:rPr>
                <w:rFonts w:ascii="Verdana" w:hAnsi="Verdana" w:cstheme="minorHAnsi"/>
              </w:rPr>
            </w:pPr>
          </w:p>
        </w:tc>
        <w:tc>
          <w:tcPr>
            <w:tcW w:w="4837" w:type="dxa"/>
            <w:vMerge/>
            <w:vAlign w:val="center"/>
          </w:tcPr>
          <w:p w14:paraId="66837A88" w14:textId="77777777" w:rsidR="00B67AED" w:rsidRPr="005D32DD" w:rsidRDefault="00B67AED" w:rsidP="00084B5A">
            <w:pPr>
              <w:jc w:val="center"/>
              <w:rPr>
                <w:rFonts w:ascii="Verdana" w:hAnsi="Verdana" w:cstheme="minorHAnsi"/>
              </w:rPr>
            </w:pPr>
          </w:p>
        </w:tc>
        <w:tc>
          <w:tcPr>
            <w:tcW w:w="1658" w:type="dxa"/>
            <w:vAlign w:val="center"/>
          </w:tcPr>
          <w:p w14:paraId="5D00B003"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Estados financieros Grupo 1,2 o 3</w:t>
            </w:r>
          </w:p>
        </w:tc>
        <w:tc>
          <w:tcPr>
            <w:tcW w:w="1244" w:type="dxa"/>
            <w:vAlign w:val="center"/>
          </w:tcPr>
          <w:p w14:paraId="7E6D3F8C"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Formato:</w:t>
            </w:r>
          </w:p>
          <w:p w14:paraId="402BE39B"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REGADS</w:t>
            </w:r>
          </w:p>
        </w:tc>
        <w:tc>
          <w:tcPr>
            <w:tcW w:w="1244" w:type="dxa"/>
            <w:vAlign w:val="center"/>
          </w:tcPr>
          <w:p w14:paraId="6EC793FD"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Formato:</w:t>
            </w:r>
          </w:p>
          <w:p w14:paraId="79853336"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RIFINC</w:t>
            </w:r>
          </w:p>
        </w:tc>
      </w:tr>
      <w:tr w:rsidR="00B67AED" w:rsidRPr="005D32DD" w14:paraId="62A8D035" w14:textId="77777777" w:rsidTr="00084B5A">
        <w:trPr>
          <w:trHeight w:val="528"/>
          <w:jc w:val="center"/>
        </w:trPr>
        <w:tc>
          <w:tcPr>
            <w:tcW w:w="410" w:type="dxa"/>
            <w:vAlign w:val="center"/>
          </w:tcPr>
          <w:p w14:paraId="62479B58" w14:textId="77777777" w:rsidR="00B67AED" w:rsidRPr="005D32DD" w:rsidRDefault="00B67AED" w:rsidP="00084B5A">
            <w:pPr>
              <w:jc w:val="both"/>
              <w:rPr>
                <w:rFonts w:ascii="Verdana" w:hAnsi="Verdana" w:cstheme="minorHAnsi"/>
                <w:b/>
                <w:bCs/>
              </w:rPr>
            </w:pPr>
            <w:r w:rsidRPr="005D32DD">
              <w:rPr>
                <w:rFonts w:ascii="Verdana" w:hAnsi="Verdana" w:cstheme="minorHAnsi"/>
                <w:b/>
                <w:bCs/>
              </w:rPr>
              <w:t>A</w:t>
            </w:r>
          </w:p>
        </w:tc>
        <w:tc>
          <w:tcPr>
            <w:tcW w:w="4837" w:type="dxa"/>
            <w:vAlign w:val="center"/>
          </w:tcPr>
          <w:p w14:paraId="701F5821" w14:textId="77777777" w:rsidR="00B67AED" w:rsidRPr="005D32DD" w:rsidRDefault="00B67AED" w:rsidP="00084B5A">
            <w:pPr>
              <w:jc w:val="both"/>
              <w:rPr>
                <w:rFonts w:ascii="Verdana" w:hAnsi="Verdana" w:cstheme="minorHAnsi"/>
              </w:rPr>
            </w:pPr>
            <w:r w:rsidRPr="005D32DD">
              <w:rPr>
                <w:rFonts w:ascii="Verdana" w:hAnsi="Verdana" w:cstheme="minorHAnsi"/>
              </w:rPr>
              <w:t>Empresas y Cooperativas de Vigilancia y Seguridad Privada.</w:t>
            </w:r>
          </w:p>
        </w:tc>
        <w:tc>
          <w:tcPr>
            <w:tcW w:w="1658" w:type="dxa"/>
            <w:vAlign w:val="center"/>
          </w:tcPr>
          <w:p w14:paraId="7D84F008"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6FF96175" w14:textId="77777777" w:rsidR="00B67AED" w:rsidRPr="005D32DD" w:rsidRDefault="00B67AED" w:rsidP="00084B5A">
            <w:pPr>
              <w:jc w:val="center"/>
              <w:rPr>
                <w:rFonts w:ascii="Verdana" w:hAnsi="Verdana" w:cstheme="minorHAnsi"/>
              </w:rPr>
            </w:pPr>
          </w:p>
        </w:tc>
        <w:tc>
          <w:tcPr>
            <w:tcW w:w="1244" w:type="dxa"/>
            <w:vAlign w:val="center"/>
          </w:tcPr>
          <w:p w14:paraId="4D1CBDC3" w14:textId="77777777" w:rsidR="00B67AED" w:rsidRPr="005D32DD" w:rsidRDefault="00B67AED" w:rsidP="00084B5A">
            <w:pPr>
              <w:jc w:val="center"/>
              <w:rPr>
                <w:rFonts w:ascii="Verdana" w:hAnsi="Verdana" w:cstheme="minorHAnsi"/>
              </w:rPr>
            </w:pPr>
          </w:p>
        </w:tc>
      </w:tr>
      <w:tr w:rsidR="00B67AED" w:rsidRPr="005D32DD" w14:paraId="34816F93" w14:textId="77777777" w:rsidTr="00084B5A">
        <w:trPr>
          <w:trHeight w:val="770"/>
          <w:jc w:val="center"/>
        </w:trPr>
        <w:tc>
          <w:tcPr>
            <w:tcW w:w="410" w:type="dxa"/>
            <w:vAlign w:val="center"/>
          </w:tcPr>
          <w:p w14:paraId="01487074" w14:textId="77777777" w:rsidR="00B67AED" w:rsidRPr="005D32DD" w:rsidRDefault="00B67AED" w:rsidP="00084B5A">
            <w:pPr>
              <w:jc w:val="both"/>
              <w:rPr>
                <w:rFonts w:ascii="Verdana" w:hAnsi="Verdana" w:cstheme="minorHAnsi"/>
                <w:b/>
                <w:bCs/>
              </w:rPr>
            </w:pPr>
            <w:r w:rsidRPr="005D32DD">
              <w:rPr>
                <w:rFonts w:ascii="Verdana" w:hAnsi="Verdana" w:cstheme="minorHAnsi"/>
                <w:b/>
                <w:bCs/>
              </w:rPr>
              <w:t>B</w:t>
            </w:r>
          </w:p>
        </w:tc>
        <w:tc>
          <w:tcPr>
            <w:tcW w:w="4837" w:type="dxa"/>
            <w:vAlign w:val="center"/>
          </w:tcPr>
          <w:p w14:paraId="530EB488" w14:textId="77777777" w:rsidR="00B67AED" w:rsidRPr="005D32DD" w:rsidRDefault="00B67AED" w:rsidP="00084B5A">
            <w:pPr>
              <w:jc w:val="both"/>
              <w:rPr>
                <w:rFonts w:ascii="Verdana" w:hAnsi="Verdana" w:cstheme="minorHAnsi"/>
              </w:rPr>
            </w:pPr>
            <w:r w:rsidRPr="005D32DD">
              <w:rPr>
                <w:rFonts w:ascii="Verdana" w:hAnsi="Verdana" w:cstheme="minorHAnsi"/>
              </w:rPr>
              <w:t>Empresas Asesoras, consultoras e investigadoras en Vigilancia y Seguridad Privada, incluyendo los de poligrafía</w:t>
            </w:r>
          </w:p>
        </w:tc>
        <w:tc>
          <w:tcPr>
            <w:tcW w:w="1658" w:type="dxa"/>
            <w:vAlign w:val="center"/>
          </w:tcPr>
          <w:p w14:paraId="7630AD8E"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447F1852" w14:textId="77777777" w:rsidR="00B67AED" w:rsidRPr="005D32DD" w:rsidRDefault="00B67AED" w:rsidP="00084B5A">
            <w:pPr>
              <w:jc w:val="center"/>
              <w:rPr>
                <w:rFonts w:ascii="Verdana" w:hAnsi="Verdana" w:cstheme="minorHAnsi"/>
              </w:rPr>
            </w:pPr>
          </w:p>
        </w:tc>
        <w:tc>
          <w:tcPr>
            <w:tcW w:w="1244" w:type="dxa"/>
            <w:vAlign w:val="center"/>
          </w:tcPr>
          <w:p w14:paraId="5AD4E5D1"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r>
      <w:tr w:rsidR="00B67AED" w:rsidRPr="005D32DD" w14:paraId="7700BE27" w14:textId="77777777" w:rsidTr="00084B5A">
        <w:trPr>
          <w:trHeight w:val="513"/>
          <w:jc w:val="center"/>
        </w:trPr>
        <w:tc>
          <w:tcPr>
            <w:tcW w:w="410" w:type="dxa"/>
            <w:vAlign w:val="center"/>
          </w:tcPr>
          <w:p w14:paraId="64A21C6A" w14:textId="77777777" w:rsidR="00B67AED" w:rsidRPr="005D32DD" w:rsidRDefault="00B67AED" w:rsidP="00084B5A">
            <w:pPr>
              <w:jc w:val="both"/>
              <w:rPr>
                <w:rFonts w:ascii="Verdana" w:hAnsi="Verdana" w:cstheme="minorHAnsi"/>
                <w:b/>
                <w:bCs/>
              </w:rPr>
            </w:pPr>
            <w:r w:rsidRPr="005D32DD">
              <w:rPr>
                <w:rFonts w:ascii="Verdana" w:hAnsi="Verdana" w:cstheme="minorHAnsi"/>
                <w:b/>
                <w:bCs/>
              </w:rPr>
              <w:lastRenderedPageBreak/>
              <w:t>C</w:t>
            </w:r>
          </w:p>
        </w:tc>
        <w:tc>
          <w:tcPr>
            <w:tcW w:w="4837" w:type="dxa"/>
            <w:vAlign w:val="center"/>
          </w:tcPr>
          <w:p w14:paraId="3A28E952" w14:textId="77777777" w:rsidR="00B67AED" w:rsidRPr="005D32DD" w:rsidRDefault="00B67AED" w:rsidP="00084B5A">
            <w:pPr>
              <w:jc w:val="both"/>
              <w:rPr>
                <w:rFonts w:ascii="Verdana" w:hAnsi="Verdana" w:cstheme="minorHAnsi"/>
              </w:rPr>
            </w:pPr>
            <w:r w:rsidRPr="005D32DD">
              <w:rPr>
                <w:rFonts w:ascii="Verdana" w:hAnsi="Verdana" w:cstheme="minorHAnsi"/>
              </w:rPr>
              <w:t>Escuelas de Capacitación y entrenamiento en Vigilancia y Seguridad Privada.</w:t>
            </w:r>
          </w:p>
        </w:tc>
        <w:tc>
          <w:tcPr>
            <w:tcW w:w="1658" w:type="dxa"/>
            <w:vAlign w:val="center"/>
          </w:tcPr>
          <w:p w14:paraId="4E8BCE52"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64771054" w14:textId="77777777" w:rsidR="00B67AED" w:rsidRPr="005D32DD" w:rsidRDefault="00B67AED" w:rsidP="00084B5A">
            <w:pPr>
              <w:jc w:val="center"/>
              <w:rPr>
                <w:rFonts w:ascii="Verdana" w:hAnsi="Verdana" w:cstheme="minorHAnsi"/>
              </w:rPr>
            </w:pPr>
          </w:p>
        </w:tc>
        <w:tc>
          <w:tcPr>
            <w:tcW w:w="1244" w:type="dxa"/>
            <w:vAlign w:val="center"/>
          </w:tcPr>
          <w:p w14:paraId="46BA5FF9" w14:textId="77777777" w:rsidR="00B67AED" w:rsidRPr="005D32DD" w:rsidRDefault="00B67AED" w:rsidP="00084B5A">
            <w:pPr>
              <w:jc w:val="center"/>
              <w:rPr>
                <w:rFonts w:ascii="Verdana" w:hAnsi="Verdana" w:cstheme="minorHAnsi"/>
              </w:rPr>
            </w:pPr>
          </w:p>
        </w:tc>
      </w:tr>
      <w:tr w:rsidR="00B67AED" w:rsidRPr="005D32DD" w14:paraId="15A108C2" w14:textId="77777777" w:rsidTr="00084B5A">
        <w:trPr>
          <w:trHeight w:val="490"/>
          <w:jc w:val="center"/>
        </w:trPr>
        <w:tc>
          <w:tcPr>
            <w:tcW w:w="410" w:type="dxa"/>
            <w:vAlign w:val="center"/>
          </w:tcPr>
          <w:p w14:paraId="728BD12E" w14:textId="77777777" w:rsidR="00B67AED" w:rsidRPr="005D32DD" w:rsidRDefault="00B67AED" w:rsidP="00084B5A">
            <w:pPr>
              <w:jc w:val="both"/>
              <w:rPr>
                <w:rFonts w:ascii="Verdana" w:hAnsi="Verdana" w:cstheme="minorHAnsi"/>
                <w:b/>
                <w:bCs/>
              </w:rPr>
            </w:pPr>
            <w:r w:rsidRPr="005D32DD">
              <w:rPr>
                <w:rFonts w:ascii="Verdana" w:hAnsi="Verdana" w:cstheme="minorHAnsi"/>
                <w:b/>
                <w:bCs/>
              </w:rPr>
              <w:t>D</w:t>
            </w:r>
          </w:p>
        </w:tc>
        <w:tc>
          <w:tcPr>
            <w:tcW w:w="4837" w:type="dxa"/>
            <w:vAlign w:val="center"/>
          </w:tcPr>
          <w:p w14:paraId="78E4CB04" w14:textId="77777777" w:rsidR="00B67AED" w:rsidRPr="005D32DD" w:rsidRDefault="00B67AED" w:rsidP="00084B5A">
            <w:pPr>
              <w:jc w:val="both"/>
              <w:rPr>
                <w:rFonts w:ascii="Verdana" w:hAnsi="Verdana" w:cstheme="minorHAnsi"/>
              </w:rPr>
            </w:pPr>
            <w:r w:rsidRPr="005D32DD">
              <w:rPr>
                <w:rFonts w:ascii="Verdana" w:hAnsi="Verdana" w:cstheme="minorHAnsi"/>
              </w:rPr>
              <w:t>Transportadoras de Valores</w:t>
            </w:r>
          </w:p>
        </w:tc>
        <w:tc>
          <w:tcPr>
            <w:tcW w:w="1658" w:type="dxa"/>
            <w:vAlign w:val="center"/>
          </w:tcPr>
          <w:p w14:paraId="7C4D5BA6"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3EC1F19B" w14:textId="77777777" w:rsidR="00B67AED" w:rsidRPr="005D32DD" w:rsidRDefault="00B67AED" w:rsidP="00084B5A">
            <w:pPr>
              <w:jc w:val="center"/>
              <w:rPr>
                <w:rFonts w:ascii="Verdana" w:hAnsi="Verdana" w:cstheme="minorHAnsi"/>
              </w:rPr>
            </w:pPr>
          </w:p>
        </w:tc>
        <w:tc>
          <w:tcPr>
            <w:tcW w:w="1244" w:type="dxa"/>
            <w:vAlign w:val="center"/>
          </w:tcPr>
          <w:p w14:paraId="315E9C5A" w14:textId="77777777" w:rsidR="00B67AED" w:rsidRPr="005D32DD" w:rsidRDefault="00B67AED" w:rsidP="00084B5A">
            <w:pPr>
              <w:jc w:val="center"/>
              <w:rPr>
                <w:rFonts w:ascii="Verdana" w:hAnsi="Verdana" w:cstheme="minorHAnsi"/>
              </w:rPr>
            </w:pPr>
          </w:p>
        </w:tc>
      </w:tr>
      <w:tr w:rsidR="00B67AED" w:rsidRPr="005D32DD" w14:paraId="02F55CBF" w14:textId="77777777" w:rsidTr="00084B5A">
        <w:trPr>
          <w:trHeight w:val="513"/>
          <w:jc w:val="center"/>
        </w:trPr>
        <w:tc>
          <w:tcPr>
            <w:tcW w:w="410" w:type="dxa"/>
            <w:vAlign w:val="center"/>
          </w:tcPr>
          <w:p w14:paraId="5DD9A8B5" w14:textId="77777777" w:rsidR="00B67AED" w:rsidRPr="005D32DD" w:rsidRDefault="00B67AED" w:rsidP="00084B5A">
            <w:pPr>
              <w:jc w:val="both"/>
              <w:rPr>
                <w:rFonts w:ascii="Verdana" w:hAnsi="Verdana" w:cstheme="minorHAnsi"/>
                <w:b/>
                <w:bCs/>
              </w:rPr>
            </w:pPr>
            <w:r w:rsidRPr="005D32DD">
              <w:rPr>
                <w:rFonts w:ascii="Verdana" w:hAnsi="Verdana" w:cstheme="minorHAnsi"/>
                <w:b/>
                <w:bCs/>
              </w:rPr>
              <w:t>E</w:t>
            </w:r>
          </w:p>
        </w:tc>
        <w:tc>
          <w:tcPr>
            <w:tcW w:w="4837" w:type="dxa"/>
            <w:vAlign w:val="center"/>
          </w:tcPr>
          <w:p w14:paraId="022A045F" w14:textId="77777777" w:rsidR="00B67AED" w:rsidRPr="005D32DD" w:rsidRDefault="00B67AED" w:rsidP="00084B5A">
            <w:pPr>
              <w:jc w:val="both"/>
              <w:rPr>
                <w:rFonts w:ascii="Verdana" w:hAnsi="Verdana" w:cstheme="minorHAnsi"/>
              </w:rPr>
            </w:pPr>
            <w:r w:rsidRPr="005D32DD">
              <w:rPr>
                <w:rFonts w:ascii="Verdana" w:hAnsi="Verdana" w:cstheme="minorHAnsi"/>
              </w:rPr>
              <w:t xml:space="preserve">Arrendadoras de vehículos Blindados y </w:t>
            </w:r>
            <w:proofErr w:type="spellStart"/>
            <w:r w:rsidRPr="005D32DD">
              <w:rPr>
                <w:rFonts w:ascii="Verdana" w:hAnsi="Verdana" w:cstheme="minorHAnsi"/>
              </w:rPr>
              <w:t>Blindadoras</w:t>
            </w:r>
            <w:proofErr w:type="spellEnd"/>
            <w:r w:rsidRPr="005D32DD">
              <w:rPr>
                <w:rFonts w:ascii="Verdana" w:hAnsi="Verdana" w:cstheme="minorHAnsi"/>
              </w:rPr>
              <w:t>.</w:t>
            </w:r>
          </w:p>
        </w:tc>
        <w:tc>
          <w:tcPr>
            <w:tcW w:w="1658" w:type="dxa"/>
            <w:vAlign w:val="center"/>
          </w:tcPr>
          <w:p w14:paraId="20F6511C"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2492532D" w14:textId="77777777" w:rsidR="00B67AED" w:rsidRPr="005D32DD" w:rsidRDefault="00B67AED" w:rsidP="00084B5A">
            <w:pPr>
              <w:jc w:val="center"/>
              <w:rPr>
                <w:rFonts w:ascii="Verdana" w:hAnsi="Verdana" w:cstheme="minorHAnsi"/>
              </w:rPr>
            </w:pPr>
          </w:p>
        </w:tc>
        <w:tc>
          <w:tcPr>
            <w:tcW w:w="1244" w:type="dxa"/>
            <w:vAlign w:val="center"/>
          </w:tcPr>
          <w:p w14:paraId="1C8DB214" w14:textId="77777777" w:rsidR="00B67AED" w:rsidRPr="005D32DD" w:rsidRDefault="00B67AED" w:rsidP="00084B5A">
            <w:pPr>
              <w:jc w:val="center"/>
              <w:rPr>
                <w:rFonts w:ascii="Verdana" w:hAnsi="Verdana" w:cstheme="minorHAnsi"/>
              </w:rPr>
            </w:pPr>
          </w:p>
        </w:tc>
      </w:tr>
      <w:tr w:rsidR="00B67AED" w:rsidRPr="005D32DD" w14:paraId="6C1E850D" w14:textId="77777777" w:rsidTr="00084B5A">
        <w:trPr>
          <w:trHeight w:val="513"/>
          <w:jc w:val="center"/>
        </w:trPr>
        <w:tc>
          <w:tcPr>
            <w:tcW w:w="410" w:type="dxa"/>
            <w:vAlign w:val="center"/>
          </w:tcPr>
          <w:p w14:paraId="19F3B6B3" w14:textId="77777777" w:rsidR="00B67AED" w:rsidRPr="005D32DD" w:rsidRDefault="00B67AED" w:rsidP="00084B5A">
            <w:pPr>
              <w:jc w:val="both"/>
              <w:rPr>
                <w:rFonts w:ascii="Verdana" w:hAnsi="Verdana" w:cstheme="minorHAnsi"/>
                <w:b/>
                <w:bCs/>
              </w:rPr>
            </w:pPr>
            <w:r w:rsidRPr="005D32DD">
              <w:rPr>
                <w:rFonts w:ascii="Verdana" w:hAnsi="Verdana" w:cstheme="minorHAnsi"/>
                <w:b/>
                <w:bCs/>
              </w:rPr>
              <w:t>F</w:t>
            </w:r>
          </w:p>
        </w:tc>
        <w:tc>
          <w:tcPr>
            <w:tcW w:w="4837" w:type="dxa"/>
            <w:vAlign w:val="center"/>
          </w:tcPr>
          <w:p w14:paraId="35B4A40F" w14:textId="77777777" w:rsidR="00B67AED" w:rsidRPr="005D32DD" w:rsidRDefault="00B67AED" w:rsidP="00084B5A">
            <w:pPr>
              <w:jc w:val="both"/>
              <w:rPr>
                <w:rFonts w:ascii="Verdana" w:hAnsi="Verdana" w:cstheme="minorHAnsi"/>
              </w:rPr>
            </w:pPr>
            <w:r w:rsidRPr="005D32DD">
              <w:rPr>
                <w:rFonts w:ascii="Verdana" w:hAnsi="Verdana" w:cstheme="minorHAnsi"/>
              </w:rPr>
              <w:t>Departamentos de Seguridad y Servicios Comunitarios.</w:t>
            </w:r>
          </w:p>
        </w:tc>
        <w:tc>
          <w:tcPr>
            <w:tcW w:w="1658" w:type="dxa"/>
            <w:vAlign w:val="center"/>
          </w:tcPr>
          <w:p w14:paraId="6E069250" w14:textId="77777777" w:rsidR="00B67AED" w:rsidRPr="005D32DD" w:rsidRDefault="00B67AED" w:rsidP="00084B5A">
            <w:pPr>
              <w:jc w:val="center"/>
              <w:rPr>
                <w:rFonts w:ascii="Verdana" w:hAnsi="Verdana" w:cstheme="minorHAnsi"/>
              </w:rPr>
            </w:pPr>
          </w:p>
          <w:p w14:paraId="0D27F01E" w14:textId="77777777" w:rsidR="00B67AED" w:rsidRPr="005D32DD" w:rsidRDefault="00B67AED" w:rsidP="00084B5A">
            <w:pPr>
              <w:jc w:val="center"/>
              <w:rPr>
                <w:rFonts w:ascii="Verdana" w:hAnsi="Verdana" w:cstheme="minorHAnsi"/>
                <w:b/>
                <w:bCs/>
              </w:rPr>
            </w:pPr>
          </w:p>
        </w:tc>
        <w:tc>
          <w:tcPr>
            <w:tcW w:w="1244" w:type="dxa"/>
            <w:vAlign w:val="center"/>
          </w:tcPr>
          <w:p w14:paraId="5033557C"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c>
          <w:tcPr>
            <w:tcW w:w="1244" w:type="dxa"/>
            <w:vAlign w:val="center"/>
          </w:tcPr>
          <w:p w14:paraId="5C6364CA" w14:textId="77777777" w:rsidR="00B67AED" w:rsidRPr="005D32DD" w:rsidRDefault="00B67AED" w:rsidP="00084B5A">
            <w:pPr>
              <w:jc w:val="center"/>
              <w:rPr>
                <w:rFonts w:ascii="Verdana" w:hAnsi="Verdana" w:cstheme="minorHAnsi"/>
              </w:rPr>
            </w:pPr>
          </w:p>
        </w:tc>
      </w:tr>
      <w:tr w:rsidR="00B67AED" w:rsidRPr="005D32DD" w14:paraId="2E551D72" w14:textId="77777777" w:rsidTr="00084B5A">
        <w:trPr>
          <w:trHeight w:val="785"/>
          <w:jc w:val="center"/>
        </w:trPr>
        <w:tc>
          <w:tcPr>
            <w:tcW w:w="410" w:type="dxa"/>
            <w:vAlign w:val="center"/>
          </w:tcPr>
          <w:p w14:paraId="69E34499" w14:textId="77777777" w:rsidR="00B67AED" w:rsidRPr="005D32DD" w:rsidRDefault="00B67AED" w:rsidP="00084B5A">
            <w:pPr>
              <w:jc w:val="both"/>
              <w:rPr>
                <w:rFonts w:ascii="Verdana" w:hAnsi="Verdana" w:cstheme="minorHAnsi"/>
                <w:b/>
                <w:bCs/>
              </w:rPr>
            </w:pPr>
            <w:r w:rsidRPr="005D32DD">
              <w:rPr>
                <w:rFonts w:ascii="Verdana" w:hAnsi="Verdana" w:cstheme="minorHAnsi"/>
                <w:b/>
                <w:bCs/>
              </w:rPr>
              <w:t>G</w:t>
            </w:r>
          </w:p>
        </w:tc>
        <w:tc>
          <w:tcPr>
            <w:tcW w:w="4837" w:type="dxa"/>
            <w:vAlign w:val="center"/>
          </w:tcPr>
          <w:p w14:paraId="4ECB8B9B" w14:textId="77777777" w:rsidR="00B67AED" w:rsidRPr="005D32DD" w:rsidRDefault="00B67AED" w:rsidP="00084B5A">
            <w:pPr>
              <w:jc w:val="both"/>
              <w:rPr>
                <w:rFonts w:ascii="Verdana" w:hAnsi="Verdana" w:cstheme="minorHAnsi"/>
              </w:rPr>
            </w:pPr>
            <w:r w:rsidRPr="005D32DD">
              <w:rPr>
                <w:rFonts w:ascii="Verdana" w:hAnsi="Verdana" w:cstheme="minorHAnsi"/>
              </w:rPr>
              <w:t>Asesores, consultores e investigadores en Vigilancia y Seguridad Privada Personas Naturales, incluyendo los de poligrafía.</w:t>
            </w:r>
          </w:p>
        </w:tc>
        <w:tc>
          <w:tcPr>
            <w:tcW w:w="1658" w:type="dxa"/>
            <w:vAlign w:val="center"/>
          </w:tcPr>
          <w:p w14:paraId="71B793F8" w14:textId="77777777" w:rsidR="00B67AED" w:rsidRPr="005D32DD" w:rsidRDefault="00B67AED" w:rsidP="00084B5A">
            <w:pPr>
              <w:jc w:val="center"/>
              <w:rPr>
                <w:rFonts w:ascii="Verdana" w:hAnsi="Verdana" w:cstheme="minorHAnsi"/>
              </w:rPr>
            </w:pPr>
          </w:p>
        </w:tc>
        <w:tc>
          <w:tcPr>
            <w:tcW w:w="1244" w:type="dxa"/>
            <w:vAlign w:val="center"/>
          </w:tcPr>
          <w:p w14:paraId="2AB4890E" w14:textId="77777777" w:rsidR="00B67AED" w:rsidRPr="005D32DD" w:rsidRDefault="00B67AED" w:rsidP="00084B5A">
            <w:pPr>
              <w:jc w:val="center"/>
              <w:rPr>
                <w:rFonts w:ascii="Verdana" w:hAnsi="Verdana" w:cstheme="minorHAnsi"/>
              </w:rPr>
            </w:pPr>
          </w:p>
        </w:tc>
        <w:tc>
          <w:tcPr>
            <w:tcW w:w="1244" w:type="dxa"/>
            <w:vAlign w:val="center"/>
          </w:tcPr>
          <w:p w14:paraId="6AFAB094"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X</w:t>
            </w:r>
          </w:p>
        </w:tc>
      </w:tr>
      <w:tr w:rsidR="00B67AED" w:rsidRPr="005D32DD" w14:paraId="2EC33476" w14:textId="77777777" w:rsidTr="00084B5A">
        <w:trPr>
          <w:trHeight w:val="1027"/>
          <w:jc w:val="center"/>
        </w:trPr>
        <w:tc>
          <w:tcPr>
            <w:tcW w:w="410" w:type="dxa"/>
            <w:vAlign w:val="center"/>
          </w:tcPr>
          <w:p w14:paraId="125765AD" w14:textId="77777777" w:rsidR="00B67AED" w:rsidRPr="005D32DD" w:rsidRDefault="00B67AED" w:rsidP="00084B5A">
            <w:pPr>
              <w:jc w:val="both"/>
              <w:rPr>
                <w:rFonts w:ascii="Verdana" w:hAnsi="Verdana" w:cstheme="minorHAnsi"/>
                <w:b/>
                <w:bCs/>
              </w:rPr>
            </w:pPr>
            <w:r w:rsidRPr="005D32DD">
              <w:rPr>
                <w:rFonts w:ascii="Verdana" w:hAnsi="Verdana" w:cstheme="minorHAnsi"/>
                <w:b/>
                <w:bCs/>
              </w:rPr>
              <w:t>H</w:t>
            </w:r>
          </w:p>
        </w:tc>
        <w:tc>
          <w:tcPr>
            <w:tcW w:w="4837" w:type="dxa"/>
            <w:vAlign w:val="center"/>
          </w:tcPr>
          <w:p w14:paraId="3DE4475C" w14:textId="77777777" w:rsidR="00B67AED" w:rsidRPr="005D32DD" w:rsidRDefault="00B67AED" w:rsidP="00084B5A">
            <w:pPr>
              <w:jc w:val="both"/>
              <w:rPr>
                <w:rFonts w:ascii="Verdana" w:hAnsi="Verdana" w:cstheme="minorHAnsi"/>
              </w:rPr>
            </w:pPr>
            <w:r w:rsidRPr="005D32DD">
              <w:rPr>
                <w:rFonts w:ascii="Verdana" w:hAnsi="Verdana" w:cstheme="minorHAnsi"/>
              </w:rPr>
              <w:t>Quienes ejercen actividades de importación, fabricación instalación y comercialización de equipos, sistemas y medios tecnológicos para vigilancia y seguridad privada.</w:t>
            </w:r>
          </w:p>
        </w:tc>
        <w:tc>
          <w:tcPr>
            <w:tcW w:w="1658" w:type="dxa"/>
            <w:vAlign w:val="center"/>
          </w:tcPr>
          <w:p w14:paraId="79926005" w14:textId="77777777" w:rsidR="00B67AED" w:rsidRPr="005D32DD" w:rsidRDefault="00B67AED" w:rsidP="00084B5A">
            <w:pPr>
              <w:jc w:val="center"/>
              <w:rPr>
                <w:rFonts w:ascii="Verdana" w:hAnsi="Verdana" w:cstheme="minorHAnsi"/>
              </w:rPr>
            </w:pPr>
          </w:p>
        </w:tc>
        <w:tc>
          <w:tcPr>
            <w:tcW w:w="1244" w:type="dxa"/>
            <w:vAlign w:val="center"/>
          </w:tcPr>
          <w:p w14:paraId="7F7AAA94" w14:textId="77777777" w:rsidR="00B67AED" w:rsidRPr="005D32DD" w:rsidRDefault="00B67AED" w:rsidP="00084B5A">
            <w:pPr>
              <w:jc w:val="center"/>
              <w:rPr>
                <w:rFonts w:ascii="Verdana" w:hAnsi="Verdana" w:cstheme="minorHAnsi"/>
              </w:rPr>
            </w:pPr>
          </w:p>
        </w:tc>
        <w:tc>
          <w:tcPr>
            <w:tcW w:w="1244" w:type="dxa"/>
            <w:vAlign w:val="center"/>
          </w:tcPr>
          <w:p w14:paraId="1FEEFF41" w14:textId="77777777" w:rsidR="00B67AED" w:rsidRPr="005D32DD" w:rsidRDefault="00B67AED" w:rsidP="00084B5A">
            <w:pPr>
              <w:keepNext/>
              <w:jc w:val="center"/>
              <w:rPr>
                <w:rFonts w:ascii="Verdana" w:hAnsi="Verdana" w:cstheme="minorHAnsi"/>
                <w:b/>
                <w:bCs/>
              </w:rPr>
            </w:pPr>
            <w:r w:rsidRPr="005D32DD">
              <w:rPr>
                <w:rFonts w:ascii="Verdana" w:hAnsi="Verdana" w:cstheme="minorHAnsi"/>
                <w:b/>
                <w:bCs/>
              </w:rPr>
              <w:t>X</w:t>
            </w:r>
          </w:p>
        </w:tc>
      </w:tr>
    </w:tbl>
    <w:p w14:paraId="11C05029" w14:textId="77777777" w:rsidR="00B67AED" w:rsidRPr="005D32DD" w:rsidRDefault="00B67AED" w:rsidP="00B67AED">
      <w:pPr>
        <w:rPr>
          <w:rFonts w:ascii="Verdana" w:hAnsi="Verdana"/>
          <w:sz w:val="22"/>
          <w:szCs w:val="22"/>
        </w:rPr>
      </w:pPr>
    </w:p>
    <w:p w14:paraId="19CFFEB4" w14:textId="77777777" w:rsidR="00B67AED" w:rsidRPr="005D32DD" w:rsidRDefault="00B67AED" w:rsidP="00B67AED">
      <w:pPr>
        <w:pStyle w:val="Ttulo2"/>
        <w:numPr>
          <w:ilvl w:val="1"/>
          <w:numId w:val="11"/>
        </w:numPr>
        <w:rPr>
          <w:rFonts w:ascii="Verdana" w:hAnsi="Verdana" w:cstheme="minorHAnsi"/>
          <w:b/>
          <w:bCs/>
          <w:sz w:val="22"/>
          <w:szCs w:val="22"/>
          <w:lang w:eastAsia="en-US"/>
        </w:rPr>
      </w:pPr>
      <w:bookmarkStart w:id="9" w:name="_Toc147830400"/>
      <w:r w:rsidRPr="005D32DD">
        <w:rPr>
          <w:rFonts w:ascii="Verdana" w:hAnsi="Verdana" w:cstheme="minorHAnsi"/>
          <w:b/>
          <w:bCs/>
          <w:color w:val="auto"/>
          <w:sz w:val="22"/>
          <w:szCs w:val="22"/>
          <w:lang w:eastAsia="en-US"/>
        </w:rPr>
        <w:t>VERIFICAR LA INFORMACIÓN.</w:t>
      </w:r>
      <w:bookmarkEnd w:id="9"/>
    </w:p>
    <w:p w14:paraId="5B6AEFA5"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 xml:space="preserve">El encargado de la verificación en primer lugar debe examinar la </w:t>
      </w:r>
      <w:r w:rsidRPr="005D32DD">
        <w:rPr>
          <w:rFonts w:ascii="Verdana" w:hAnsi="Verdana" w:cstheme="minorHAnsi"/>
          <w:i/>
          <w:iCs/>
          <w:sz w:val="22"/>
          <w:szCs w:val="22"/>
        </w:rPr>
        <w:t>tabla 2</w:t>
      </w:r>
      <w:r w:rsidRPr="005D32DD">
        <w:rPr>
          <w:rFonts w:ascii="Verdana" w:hAnsi="Verdana" w:cstheme="minorHAnsi"/>
          <w:sz w:val="22"/>
          <w:szCs w:val="22"/>
        </w:rPr>
        <w:t xml:space="preserve"> para determinar la información requerida de acuerdo con el servicio del vigilado y asegurarse que la información sea correcta. Una vez se cumpla el plazo límite para reporte de información, se envía a los responsables de cada uno de los servicios la base de datos con la información de las empresas que realizaron el reporte de información financiera.</w:t>
      </w:r>
    </w:p>
    <w:p w14:paraId="307865E2"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Si no se realiza el reporte de la información o si se presentan inexactitudes, el profesional de la labor debe requerirle al vigilado dicha información específica por medio de un comunicado de emplazamiento (FOR-GFI-320-045).</w:t>
      </w:r>
    </w:p>
    <w:p w14:paraId="15E959E2" w14:textId="77777777" w:rsidR="00B67AED" w:rsidRPr="005D32DD" w:rsidRDefault="00B67AED" w:rsidP="00B67AED">
      <w:pPr>
        <w:jc w:val="both"/>
        <w:rPr>
          <w:rFonts w:ascii="Verdana" w:hAnsi="Verdana" w:cstheme="minorHAnsi"/>
          <w:sz w:val="22"/>
          <w:szCs w:val="22"/>
        </w:rPr>
      </w:pPr>
    </w:p>
    <w:p w14:paraId="3429F138" w14:textId="75FE62A7" w:rsidR="00B67AED" w:rsidRPr="005D32DD" w:rsidRDefault="005D32DD" w:rsidP="00B67AED">
      <w:pPr>
        <w:pStyle w:val="Ttulo3"/>
        <w:numPr>
          <w:ilvl w:val="2"/>
          <w:numId w:val="11"/>
        </w:numPr>
        <w:rPr>
          <w:rFonts w:ascii="Verdana" w:hAnsi="Verdana" w:cstheme="minorHAnsi"/>
          <w:b/>
          <w:bCs/>
          <w:color w:val="auto"/>
          <w:sz w:val="22"/>
          <w:szCs w:val="22"/>
        </w:rPr>
      </w:pPr>
      <w:bookmarkStart w:id="10" w:name="_Toc147830401"/>
      <w:r>
        <w:rPr>
          <w:rFonts w:ascii="Verdana" w:hAnsi="Verdana" w:cstheme="minorHAnsi"/>
          <w:b/>
          <w:bCs/>
          <w:color w:val="auto"/>
          <w:sz w:val="22"/>
          <w:szCs w:val="22"/>
        </w:rPr>
        <w:t xml:space="preserve"> </w:t>
      </w:r>
      <w:r w:rsidR="00B67AED" w:rsidRPr="005D32DD">
        <w:rPr>
          <w:rFonts w:ascii="Verdana" w:hAnsi="Verdana" w:cstheme="minorHAnsi"/>
          <w:b/>
          <w:bCs/>
          <w:color w:val="auto"/>
          <w:sz w:val="22"/>
          <w:szCs w:val="22"/>
        </w:rPr>
        <w:t>Emplazamiento por no reporte de información financiera.</w:t>
      </w:r>
      <w:bookmarkEnd w:id="10"/>
    </w:p>
    <w:p w14:paraId="4817BB13"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El profesional de la labor mediante el gestor documental realiza el memorando de reporte de información dirigido a la delegada para el control, de los vigilados que no realizaron el reporte de información financiera en el aplicativo dispuesto para tal fin. Luego, se genera el comunicado de emplazamiento (FOR-GFI-320-045) utilizando el formato de oficio del gestor documental, donde se le solicita al vigilado el reporte de la información financiera requerida.</w:t>
      </w:r>
    </w:p>
    <w:p w14:paraId="5170978D"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Hecho el emplazamiento, se remite a la junto a la planilla de comunicaciones oficiales (FOR-GDO-330-004) al área de Gestión documental, para informar al vigilado sobre su estado con la entidad.</w:t>
      </w:r>
    </w:p>
    <w:p w14:paraId="6772D948"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lang w:eastAsia="en-US"/>
        </w:rPr>
      </w:pPr>
      <w:r w:rsidRPr="005D32DD">
        <w:rPr>
          <w:rFonts w:ascii="Verdana" w:hAnsi="Verdana" w:cstheme="minorHAnsi"/>
          <w:lang w:eastAsia="en-US"/>
        </w:rPr>
        <w:t>En la comunicación del emplazamiento al vigilado, se debe verificar que dicha comunicación llegue de manera efectiva.</w:t>
      </w:r>
    </w:p>
    <w:p w14:paraId="3C068FED"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 xml:space="preserve">Al tener la información o base de datos, se procede a la verificación correspondiente con relación a la base gravable o tarifa. </w:t>
      </w:r>
    </w:p>
    <w:p w14:paraId="62CC38BC" w14:textId="77777777" w:rsidR="00B67AED" w:rsidRPr="005D32DD" w:rsidRDefault="00B67AED" w:rsidP="00B67AED">
      <w:pPr>
        <w:jc w:val="both"/>
        <w:rPr>
          <w:rFonts w:ascii="Verdana" w:hAnsi="Verdana" w:cstheme="minorHAnsi"/>
          <w:sz w:val="22"/>
          <w:szCs w:val="22"/>
        </w:rPr>
      </w:pPr>
    </w:p>
    <w:p w14:paraId="4FA962A2" w14:textId="77777777" w:rsidR="00B67AED" w:rsidRPr="005D32DD" w:rsidRDefault="00B67AED" w:rsidP="00B67AED">
      <w:pPr>
        <w:pStyle w:val="Ttulo3"/>
        <w:numPr>
          <w:ilvl w:val="1"/>
          <w:numId w:val="11"/>
        </w:numPr>
        <w:rPr>
          <w:rFonts w:ascii="Verdana" w:hAnsi="Verdana" w:cstheme="minorHAnsi"/>
          <w:b/>
          <w:bCs/>
          <w:color w:val="auto"/>
          <w:sz w:val="22"/>
          <w:szCs w:val="22"/>
          <w:lang w:eastAsia="en-US"/>
        </w:rPr>
      </w:pPr>
      <w:bookmarkStart w:id="11" w:name="_Toc147830402"/>
      <w:r w:rsidRPr="005D32DD">
        <w:rPr>
          <w:rFonts w:ascii="Verdana" w:hAnsi="Verdana" w:cstheme="minorHAnsi"/>
          <w:b/>
          <w:bCs/>
          <w:color w:val="auto"/>
          <w:sz w:val="22"/>
          <w:szCs w:val="22"/>
          <w:lang w:eastAsia="en-US"/>
        </w:rPr>
        <w:lastRenderedPageBreak/>
        <w:t>Base Gravable y Tarifa.</w:t>
      </w:r>
      <w:bookmarkEnd w:id="11"/>
    </w:p>
    <w:p w14:paraId="3039AEA1"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La base gravable se establece de acuerdo con lo señalado en Ley 1819 de 2016 (Art 371), la cual establece el reporte de la contribución por parte del vigilado. Una vez se determine el tipo de servicio, se relaciona la tarifa correspondiente a este, mostrada en la siguiente tabla:</w:t>
      </w:r>
    </w:p>
    <w:p w14:paraId="2FED1ECC" w14:textId="77777777" w:rsidR="00B67AED" w:rsidRPr="005D32DD" w:rsidRDefault="00B67AED" w:rsidP="00B67AED">
      <w:pPr>
        <w:jc w:val="both"/>
        <w:rPr>
          <w:rFonts w:ascii="Verdana" w:hAnsi="Verdana" w:cstheme="minorHAnsi"/>
          <w:sz w:val="22"/>
          <w:szCs w:val="22"/>
        </w:rPr>
      </w:pPr>
    </w:p>
    <w:p w14:paraId="36C33673" w14:textId="77777777" w:rsidR="00B67AED" w:rsidRPr="005D32DD" w:rsidRDefault="00B67AED" w:rsidP="00B67AED">
      <w:pPr>
        <w:pStyle w:val="Descripcin"/>
        <w:jc w:val="center"/>
        <w:rPr>
          <w:rFonts w:ascii="Verdana" w:hAnsi="Verdana" w:cstheme="minorHAnsi"/>
          <w:b/>
          <w:bCs/>
          <w:color w:val="auto"/>
          <w:sz w:val="22"/>
          <w:szCs w:val="22"/>
        </w:rPr>
      </w:pPr>
      <w:bookmarkStart w:id="12" w:name="_Toc148523346"/>
      <w:r w:rsidRPr="005D32DD">
        <w:rPr>
          <w:rFonts w:ascii="Verdana" w:hAnsi="Verdana" w:cstheme="minorHAnsi"/>
          <w:b/>
          <w:bCs/>
          <w:color w:val="auto"/>
          <w:sz w:val="22"/>
          <w:szCs w:val="22"/>
        </w:rPr>
        <w:t xml:space="preserve">Tabla </w:t>
      </w:r>
      <w:r w:rsidRPr="005D32DD">
        <w:rPr>
          <w:rFonts w:ascii="Verdana" w:hAnsi="Verdana" w:cstheme="minorHAnsi"/>
          <w:b/>
          <w:bCs/>
          <w:color w:val="auto"/>
          <w:sz w:val="22"/>
          <w:szCs w:val="22"/>
        </w:rPr>
        <w:fldChar w:fldCharType="begin"/>
      </w:r>
      <w:r w:rsidRPr="005D32DD">
        <w:rPr>
          <w:rFonts w:ascii="Verdana" w:hAnsi="Verdana" w:cstheme="minorHAnsi"/>
          <w:b/>
          <w:bCs/>
          <w:color w:val="auto"/>
          <w:sz w:val="22"/>
          <w:szCs w:val="22"/>
        </w:rPr>
        <w:instrText xml:space="preserve"> SEQ Tabla \* ARABIC </w:instrText>
      </w:r>
      <w:r w:rsidRPr="005D32DD">
        <w:rPr>
          <w:rFonts w:ascii="Verdana" w:hAnsi="Verdana" w:cstheme="minorHAnsi"/>
          <w:b/>
          <w:bCs/>
          <w:color w:val="auto"/>
          <w:sz w:val="22"/>
          <w:szCs w:val="22"/>
        </w:rPr>
        <w:fldChar w:fldCharType="separate"/>
      </w:r>
      <w:r w:rsidRPr="005D32DD">
        <w:rPr>
          <w:rFonts w:ascii="Verdana" w:hAnsi="Verdana" w:cstheme="minorHAnsi"/>
          <w:b/>
          <w:bCs/>
          <w:color w:val="auto"/>
          <w:sz w:val="22"/>
          <w:szCs w:val="22"/>
        </w:rPr>
        <w:t>3</w:t>
      </w:r>
      <w:r w:rsidRPr="005D32DD">
        <w:rPr>
          <w:rFonts w:ascii="Verdana" w:hAnsi="Verdana" w:cstheme="minorHAnsi"/>
          <w:b/>
          <w:bCs/>
          <w:color w:val="auto"/>
          <w:sz w:val="22"/>
          <w:szCs w:val="22"/>
        </w:rPr>
        <w:fldChar w:fldCharType="end"/>
      </w:r>
      <w:r w:rsidRPr="005D32DD">
        <w:rPr>
          <w:rFonts w:ascii="Verdana" w:hAnsi="Verdana" w:cstheme="minorHAnsi"/>
          <w:b/>
          <w:bCs/>
          <w:color w:val="auto"/>
          <w:sz w:val="22"/>
          <w:szCs w:val="22"/>
        </w:rPr>
        <w:t>: Definición de tarifa.</w:t>
      </w:r>
      <w:bookmarkEnd w:id="12"/>
    </w:p>
    <w:tbl>
      <w:tblPr>
        <w:tblStyle w:val="Tablaconcuadrcula"/>
        <w:tblW w:w="9351" w:type="dxa"/>
        <w:tblLook w:val="04A0" w:firstRow="1" w:lastRow="0" w:firstColumn="1" w:lastColumn="0" w:noHBand="0" w:noVBand="1"/>
      </w:tblPr>
      <w:tblGrid>
        <w:gridCol w:w="4815"/>
        <w:gridCol w:w="3544"/>
        <w:gridCol w:w="992"/>
      </w:tblGrid>
      <w:tr w:rsidR="00B67AED" w:rsidRPr="005D32DD" w14:paraId="6B13FA67" w14:textId="77777777" w:rsidTr="00084B5A">
        <w:trPr>
          <w:tblHeader/>
        </w:trPr>
        <w:tc>
          <w:tcPr>
            <w:tcW w:w="4815" w:type="dxa"/>
            <w:vAlign w:val="center"/>
          </w:tcPr>
          <w:p w14:paraId="7A0CB869"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TIPO DE SERVICIO</w:t>
            </w:r>
          </w:p>
        </w:tc>
        <w:tc>
          <w:tcPr>
            <w:tcW w:w="3544" w:type="dxa"/>
            <w:vAlign w:val="center"/>
          </w:tcPr>
          <w:p w14:paraId="550B7DCB"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Base gravable</w:t>
            </w:r>
          </w:p>
        </w:tc>
        <w:tc>
          <w:tcPr>
            <w:tcW w:w="992" w:type="dxa"/>
            <w:vAlign w:val="center"/>
          </w:tcPr>
          <w:p w14:paraId="34E5B315" w14:textId="77777777" w:rsidR="00B67AED" w:rsidRPr="005D32DD" w:rsidRDefault="00B67AED" w:rsidP="00084B5A">
            <w:pPr>
              <w:jc w:val="center"/>
              <w:rPr>
                <w:rFonts w:ascii="Verdana" w:hAnsi="Verdana" w:cstheme="minorHAnsi"/>
                <w:b/>
                <w:bCs/>
              </w:rPr>
            </w:pPr>
            <w:r w:rsidRPr="005D32DD">
              <w:rPr>
                <w:rFonts w:ascii="Verdana" w:hAnsi="Verdana" w:cstheme="minorHAnsi"/>
                <w:b/>
                <w:bCs/>
              </w:rPr>
              <w:t>Tarifa</w:t>
            </w:r>
          </w:p>
        </w:tc>
      </w:tr>
      <w:tr w:rsidR="00B67AED" w:rsidRPr="005D32DD" w14:paraId="2869B606" w14:textId="77777777" w:rsidTr="00084B5A">
        <w:tc>
          <w:tcPr>
            <w:tcW w:w="4815" w:type="dxa"/>
            <w:vAlign w:val="center"/>
          </w:tcPr>
          <w:p w14:paraId="787A3015" w14:textId="77777777" w:rsidR="00B67AED" w:rsidRPr="005D32DD" w:rsidRDefault="00B67AED" w:rsidP="00084B5A">
            <w:pPr>
              <w:rPr>
                <w:rFonts w:ascii="Verdana" w:hAnsi="Verdana" w:cstheme="minorHAnsi"/>
              </w:rPr>
            </w:pPr>
            <w:r w:rsidRPr="005D32DD">
              <w:rPr>
                <w:rFonts w:ascii="Verdana" w:hAnsi="Verdana" w:cstheme="minorHAnsi"/>
              </w:rPr>
              <w:t>Empresas y Cooperativas de Vigilancia y Seguridad Privada</w:t>
            </w:r>
          </w:p>
        </w:tc>
        <w:tc>
          <w:tcPr>
            <w:tcW w:w="3544" w:type="dxa"/>
            <w:vMerge w:val="restart"/>
            <w:vAlign w:val="center"/>
          </w:tcPr>
          <w:p w14:paraId="0293A0C6" w14:textId="77777777" w:rsidR="00B67AED" w:rsidRPr="005D32DD" w:rsidRDefault="00B67AED" w:rsidP="00084B5A">
            <w:pPr>
              <w:jc w:val="both"/>
              <w:rPr>
                <w:rFonts w:ascii="Verdana" w:hAnsi="Verdana" w:cstheme="minorHAnsi"/>
              </w:rPr>
            </w:pPr>
            <w:r w:rsidRPr="005D32DD">
              <w:rPr>
                <w:rFonts w:ascii="Verdana" w:hAnsi="Verdana" w:cstheme="minorHAnsi"/>
              </w:rPr>
              <w:t>Capital suscrito para las sociedades comerciales y sobre los aportes sociales para las cooperativas de vigilancia</w:t>
            </w:r>
          </w:p>
        </w:tc>
        <w:tc>
          <w:tcPr>
            <w:tcW w:w="992" w:type="dxa"/>
            <w:vMerge w:val="restart"/>
            <w:vAlign w:val="center"/>
          </w:tcPr>
          <w:p w14:paraId="748B8B3E" w14:textId="77777777" w:rsidR="00B67AED" w:rsidRPr="005D32DD" w:rsidRDefault="00B67AED" w:rsidP="00084B5A">
            <w:pPr>
              <w:jc w:val="center"/>
              <w:rPr>
                <w:rFonts w:ascii="Verdana" w:hAnsi="Verdana" w:cstheme="minorHAnsi"/>
              </w:rPr>
            </w:pPr>
            <w:r w:rsidRPr="005D32DD">
              <w:rPr>
                <w:rFonts w:ascii="Verdana" w:hAnsi="Verdana" w:cstheme="minorHAnsi"/>
              </w:rPr>
              <w:t>1.5%</w:t>
            </w:r>
          </w:p>
        </w:tc>
      </w:tr>
      <w:tr w:rsidR="00B67AED" w:rsidRPr="005D32DD" w14:paraId="5BB4D1B2" w14:textId="77777777" w:rsidTr="00084B5A">
        <w:tc>
          <w:tcPr>
            <w:tcW w:w="4815" w:type="dxa"/>
            <w:vAlign w:val="center"/>
          </w:tcPr>
          <w:p w14:paraId="7A78CF54" w14:textId="77777777" w:rsidR="00B67AED" w:rsidRPr="005D32DD" w:rsidRDefault="00B67AED" w:rsidP="00084B5A">
            <w:pPr>
              <w:rPr>
                <w:rFonts w:ascii="Verdana" w:hAnsi="Verdana" w:cstheme="minorHAnsi"/>
              </w:rPr>
            </w:pPr>
            <w:r w:rsidRPr="005D32DD">
              <w:rPr>
                <w:rFonts w:ascii="Verdana" w:hAnsi="Verdana" w:cstheme="minorHAnsi"/>
              </w:rPr>
              <w:t>Escuelas de Capacitación y entrenamiento en Vigilancia y Seguridad Privada.</w:t>
            </w:r>
          </w:p>
        </w:tc>
        <w:tc>
          <w:tcPr>
            <w:tcW w:w="3544" w:type="dxa"/>
            <w:vMerge/>
            <w:vAlign w:val="center"/>
          </w:tcPr>
          <w:p w14:paraId="07B6D0D7" w14:textId="77777777" w:rsidR="00B67AED" w:rsidRPr="005D32DD" w:rsidRDefault="00B67AED" w:rsidP="00084B5A">
            <w:pPr>
              <w:jc w:val="both"/>
              <w:rPr>
                <w:rFonts w:ascii="Verdana" w:hAnsi="Verdana" w:cstheme="minorHAnsi"/>
              </w:rPr>
            </w:pPr>
          </w:p>
        </w:tc>
        <w:tc>
          <w:tcPr>
            <w:tcW w:w="992" w:type="dxa"/>
            <w:vMerge/>
            <w:vAlign w:val="center"/>
          </w:tcPr>
          <w:p w14:paraId="0B767D62" w14:textId="77777777" w:rsidR="00B67AED" w:rsidRPr="005D32DD" w:rsidRDefault="00B67AED" w:rsidP="00084B5A">
            <w:pPr>
              <w:jc w:val="center"/>
              <w:rPr>
                <w:rFonts w:ascii="Verdana" w:hAnsi="Verdana" w:cstheme="minorHAnsi"/>
              </w:rPr>
            </w:pPr>
          </w:p>
        </w:tc>
      </w:tr>
      <w:tr w:rsidR="00B67AED" w:rsidRPr="005D32DD" w14:paraId="1AAA0FB4" w14:textId="77777777" w:rsidTr="00084B5A">
        <w:trPr>
          <w:trHeight w:val="510"/>
        </w:trPr>
        <w:tc>
          <w:tcPr>
            <w:tcW w:w="4815" w:type="dxa"/>
            <w:vAlign w:val="center"/>
          </w:tcPr>
          <w:p w14:paraId="42DD833D" w14:textId="77777777" w:rsidR="00B67AED" w:rsidRPr="005D32DD" w:rsidRDefault="00B67AED" w:rsidP="00084B5A">
            <w:pPr>
              <w:rPr>
                <w:rFonts w:ascii="Verdana" w:hAnsi="Verdana" w:cstheme="minorHAnsi"/>
              </w:rPr>
            </w:pPr>
            <w:r w:rsidRPr="005D32DD">
              <w:rPr>
                <w:rFonts w:ascii="Verdana" w:hAnsi="Verdana" w:cstheme="minorHAnsi"/>
              </w:rPr>
              <w:t>Transportadoras de Valores.</w:t>
            </w:r>
          </w:p>
        </w:tc>
        <w:tc>
          <w:tcPr>
            <w:tcW w:w="3544" w:type="dxa"/>
            <w:vMerge/>
            <w:vAlign w:val="center"/>
          </w:tcPr>
          <w:p w14:paraId="47009260" w14:textId="77777777" w:rsidR="00B67AED" w:rsidRPr="005D32DD" w:rsidRDefault="00B67AED" w:rsidP="00084B5A">
            <w:pPr>
              <w:jc w:val="both"/>
              <w:rPr>
                <w:rFonts w:ascii="Verdana" w:hAnsi="Verdana" w:cstheme="minorHAnsi"/>
              </w:rPr>
            </w:pPr>
          </w:p>
        </w:tc>
        <w:tc>
          <w:tcPr>
            <w:tcW w:w="992" w:type="dxa"/>
            <w:vMerge/>
            <w:vAlign w:val="center"/>
          </w:tcPr>
          <w:p w14:paraId="7BFC5732" w14:textId="77777777" w:rsidR="00B67AED" w:rsidRPr="005D32DD" w:rsidRDefault="00B67AED" w:rsidP="00084B5A">
            <w:pPr>
              <w:jc w:val="center"/>
              <w:rPr>
                <w:rFonts w:ascii="Verdana" w:hAnsi="Verdana" w:cstheme="minorHAnsi"/>
              </w:rPr>
            </w:pPr>
          </w:p>
        </w:tc>
      </w:tr>
      <w:tr w:rsidR="00B67AED" w:rsidRPr="005D32DD" w14:paraId="2FB3F03F" w14:textId="77777777" w:rsidTr="00084B5A">
        <w:tc>
          <w:tcPr>
            <w:tcW w:w="4815" w:type="dxa"/>
            <w:vAlign w:val="center"/>
          </w:tcPr>
          <w:p w14:paraId="09292DA8" w14:textId="77777777" w:rsidR="00B67AED" w:rsidRPr="005D32DD" w:rsidRDefault="00B67AED" w:rsidP="00084B5A">
            <w:pPr>
              <w:rPr>
                <w:rFonts w:ascii="Verdana" w:hAnsi="Verdana" w:cstheme="minorHAnsi"/>
              </w:rPr>
            </w:pPr>
            <w:r w:rsidRPr="005D32DD">
              <w:rPr>
                <w:rFonts w:ascii="Verdana" w:hAnsi="Verdana" w:cstheme="minorHAnsi"/>
              </w:rPr>
              <w:t xml:space="preserve">Arrendadoras de vehículos Blindados y </w:t>
            </w:r>
            <w:proofErr w:type="spellStart"/>
            <w:r w:rsidRPr="005D32DD">
              <w:rPr>
                <w:rFonts w:ascii="Verdana" w:hAnsi="Verdana" w:cstheme="minorHAnsi"/>
              </w:rPr>
              <w:t>Blindadoras</w:t>
            </w:r>
            <w:proofErr w:type="spellEnd"/>
            <w:r w:rsidRPr="005D32DD">
              <w:rPr>
                <w:rFonts w:ascii="Verdana" w:hAnsi="Verdana" w:cstheme="minorHAnsi"/>
              </w:rPr>
              <w:t>.</w:t>
            </w:r>
          </w:p>
        </w:tc>
        <w:tc>
          <w:tcPr>
            <w:tcW w:w="3544" w:type="dxa"/>
            <w:vMerge/>
            <w:vAlign w:val="center"/>
          </w:tcPr>
          <w:p w14:paraId="0BC94187" w14:textId="77777777" w:rsidR="00B67AED" w:rsidRPr="005D32DD" w:rsidRDefault="00B67AED" w:rsidP="00084B5A">
            <w:pPr>
              <w:jc w:val="both"/>
              <w:rPr>
                <w:rFonts w:ascii="Verdana" w:hAnsi="Verdana" w:cstheme="minorHAnsi"/>
              </w:rPr>
            </w:pPr>
          </w:p>
        </w:tc>
        <w:tc>
          <w:tcPr>
            <w:tcW w:w="992" w:type="dxa"/>
            <w:vMerge/>
            <w:vAlign w:val="center"/>
          </w:tcPr>
          <w:p w14:paraId="42E39410" w14:textId="77777777" w:rsidR="00B67AED" w:rsidRPr="005D32DD" w:rsidRDefault="00B67AED" w:rsidP="00084B5A">
            <w:pPr>
              <w:jc w:val="center"/>
              <w:rPr>
                <w:rFonts w:ascii="Verdana" w:hAnsi="Verdana" w:cstheme="minorHAnsi"/>
              </w:rPr>
            </w:pPr>
          </w:p>
        </w:tc>
      </w:tr>
      <w:tr w:rsidR="00B67AED" w:rsidRPr="005D32DD" w14:paraId="3B699678" w14:textId="77777777" w:rsidTr="00084B5A">
        <w:tc>
          <w:tcPr>
            <w:tcW w:w="4815" w:type="dxa"/>
            <w:vAlign w:val="center"/>
          </w:tcPr>
          <w:p w14:paraId="251470D6" w14:textId="77777777" w:rsidR="00B67AED" w:rsidRPr="005D32DD" w:rsidRDefault="00B67AED" w:rsidP="00084B5A">
            <w:pPr>
              <w:rPr>
                <w:rFonts w:ascii="Verdana" w:hAnsi="Verdana" w:cstheme="minorHAnsi"/>
              </w:rPr>
            </w:pPr>
            <w:r w:rsidRPr="005D32DD">
              <w:rPr>
                <w:rFonts w:ascii="Verdana" w:hAnsi="Verdana" w:cstheme="minorHAnsi"/>
              </w:rPr>
              <w:t>Departamentos de Seguridad y Servicios Comunitarios.</w:t>
            </w:r>
          </w:p>
        </w:tc>
        <w:tc>
          <w:tcPr>
            <w:tcW w:w="3544" w:type="dxa"/>
            <w:vAlign w:val="center"/>
          </w:tcPr>
          <w:p w14:paraId="1C399451" w14:textId="77777777" w:rsidR="00B67AED" w:rsidRPr="005D32DD" w:rsidRDefault="00B67AED" w:rsidP="00084B5A">
            <w:pPr>
              <w:jc w:val="both"/>
              <w:rPr>
                <w:rFonts w:ascii="Verdana" w:hAnsi="Verdana" w:cstheme="minorHAnsi"/>
              </w:rPr>
            </w:pPr>
            <w:r w:rsidRPr="005D32DD">
              <w:rPr>
                <w:rFonts w:ascii="Verdana" w:hAnsi="Verdana" w:cstheme="minorHAnsi"/>
              </w:rPr>
              <w:t>valor de la nómina empleada para la prestación del servicio de seguridad, reportada a la Superintendencia</w:t>
            </w:r>
          </w:p>
        </w:tc>
        <w:tc>
          <w:tcPr>
            <w:tcW w:w="992" w:type="dxa"/>
            <w:vAlign w:val="center"/>
          </w:tcPr>
          <w:p w14:paraId="67FBA158" w14:textId="77777777" w:rsidR="00B67AED" w:rsidRPr="005D32DD" w:rsidRDefault="00B67AED" w:rsidP="00084B5A">
            <w:pPr>
              <w:jc w:val="center"/>
              <w:rPr>
                <w:rFonts w:ascii="Verdana" w:hAnsi="Verdana" w:cstheme="minorHAnsi"/>
              </w:rPr>
            </w:pPr>
            <w:r w:rsidRPr="005D32DD">
              <w:rPr>
                <w:rFonts w:ascii="Verdana" w:hAnsi="Verdana" w:cstheme="minorHAnsi"/>
              </w:rPr>
              <w:t>2%</w:t>
            </w:r>
          </w:p>
        </w:tc>
      </w:tr>
      <w:tr w:rsidR="00B67AED" w:rsidRPr="005D32DD" w14:paraId="29687AD1" w14:textId="77777777" w:rsidTr="00084B5A">
        <w:tc>
          <w:tcPr>
            <w:tcW w:w="4815" w:type="dxa"/>
            <w:vAlign w:val="center"/>
          </w:tcPr>
          <w:p w14:paraId="5CBE49D7" w14:textId="77777777" w:rsidR="00B67AED" w:rsidRPr="005D32DD" w:rsidRDefault="00B67AED" w:rsidP="00084B5A">
            <w:pPr>
              <w:rPr>
                <w:rFonts w:ascii="Verdana" w:hAnsi="Verdana" w:cstheme="minorHAnsi"/>
              </w:rPr>
            </w:pPr>
            <w:r w:rsidRPr="005D32DD">
              <w:rPr>
                <w:rFonts w:ascii="Verdana" w:hAnsi="Verdana" w:cstheme="minorHAnsi"/>
              </w:rPr>
              <w:t>Empresas Asesoras, consultoras e investigadoras en Vigilancia y Seguridad Privada, incluyendo los de poligrafía.</w:t>
            </w:r>
          </w:p>
        </w:tc>
        <w:tc>
          <w:tcPr>
            <w:tcW w:w="3544" w:type="dxa"/>
            <w:vMerge w:val="restart"/>
            <w:vAlign w:val="center"/>
          </w:tcPr>
          <w:p w14:paraId="0B23AB8E" w14:textId="77777777" w:rsidR="00B67AED" w:rsidRPr="005D32DD" w:rsidRDefault="00B67AED" w:rsidP="00084B5A">
            <w:pPr>
              <w:jc w:val="both"/>
              <w:rPr>
                <w:rFonts w:ascii="Verdana" w:hAnsi="Verdana" w:cstheme="minorHAnsi"/>
              </w:rPr>
            </w:pPr>
            <w:r w:rsidRPr="005D32DD">
              <w:rPr>
                <w:rFonts w:ascii="Verdana" w:hAnsi="Verdana" w:cstheme="minorHAnsi"/>
              </w:rPr>
              <w:t>Ingresos brutos que perciban exclusivamente por concepto de estas actividades</w:t>
            </w:r>
          </w:p>
        </w:tc>
        <w:tc>
          <w:tcPr>
            <w:tcW w:w="992" w:type="dxa"/>
            <w:vMerge w:val="restart"/>
            <w:vAlign w:val="center"/>
          </w:tcPr>
          <w:p w14:paraId="72791005" w14:textId="77777777" w:rsidR="00B67AED" w:rsidRPr="005D32DD" w:rsidRDefault="00B67AED" w:rsidP="00084B5A">
            <w:pPr>
              <w:jc w:val="center"/>
              <w:rPr>
                <w:rFonts w:ascii="Verdana" w:hAnsi="Verdana" w:cstheme="minorHAnsi"/>
              </w:rPr>
            </w:pPr>
            <w:r w:rsidRPr="005D32DD">
              <w:rPr>
                <w:rFonts w:ascii="Verdana" w:hAnsi="Verdana" w:cstheme="minorHAnsi"/>
              </w:rPr>
              <w:t>1%</w:t>
            </w:r>
          </w:p>
        </w:tc>
      </w:tr>
      <w:tr w:rsidR="00B67AED" w:rsidRPr="005D32DD" w14:paraId="27F5D05B" w14:textId="77777777" w:rsidTr="00084B5A">
        <w:tc>
          <w:tcPr>
            <w:tcW w:w="4815" w:type="dxa"/>
            <w:vAlign w:val="center"/>
          </w:tcPr>
          <w:p w14:paraId="283C6617" w14:textId="77777777" w:rsidR="00B67AED" w:rsidRPr="005D32DD" w:rsidRDefault="00B67AED" w:rsidP="00084B5A">
            <w:pPr>
              <w:rPr>
                <w:rFonts w:ascii="Verdana" w:hAnsi="Verdana" w:cstheme="minorHAnsi"/>
              </w:rPr>
            </w:pPr>
            <w:r w:rsidRPr="005D32DD">
              <w:rPr>
                <w:rFonts w:ascii="Verdana" w:hAnsi="Verdana" w:cstheme="minorHAnsi"/>
              </w:rPr>
              <w:t>Asesores, consultores e investigadores en Vigilancia y Seguridad Privada Personas Naturales, incluyendo los de poligrafía.</w:t>
            </w:r>
          </w:p>
        </w:tc>
        <w:tc>
          <w:tcPr>
            <w:tcW w:w="3544" w:type="dxa"/>
            <w:vMerge/>
            <w:vAlign w:val="center"/>
          </w:tcPr>
          <w:p w14:paraId="302542BE" w14:textId="77777777" w:rsidR="00B67AED" w:rsidRPr="005D32DD" w:rsidRDefault="00B67AED" w:rsidP="00084B5A">
            <w:pPr>
              <w:rPr>
                <w:rFonts w:ascii="Verdana" w:hAnsi="Verdana" w:cstheme="minorHAnsi"/>
              </w:rPr>
            </w:pPr>
          </w:p>
        </w:tc>
        <w:tc>
          <w:tcPr>
            <w:tcW w:w="992" w:type="dxa"/>
            <w:vMerge/>
            <w:vAlign w:val="center"/>
          </w:tcPr>
          <w:p w14:paraId="207E4A51" w14:textId="77777777" w:rsidR="00B67AED" w:rsidRPr="005D32DD" w:rsidRDefault="00B67AED" w:rsidP="00084B5A">
            <w:pPr>
              <w:rPr>
                <w:rFonts w:ascii="Verdana" w:hAnsi="Verdana" w:cstheme="minorHAnsi"/>
              </w:rPr>
            </w:pPr>
          </w:p>
        </w:tc>
      </w:tr>
      <w:tr w:rsidR="00B67AED" w:rsidRPr="005D32DD" w14:paraId="705C86C8" w14:textId="77777777" w:rsidTr="00084B5A">
        <w:tc>
          <w:tcPr>
            <w:tcW w:w="4815" w:type="dxa"/>
            <w:vAlign w:val="center"/>
          </w:tcPr>
          <w:p w14:paraId="1C46FF1D" w14:textId="77777777" w:rsidR="00B67AED" w:rsidRPr="005D32DD" w:rsidRDefault="00B67AED" w:rsidP="00084B5A">
            <w:pPr>
              <w:rPr>
                <w:rFonts w:ascii="Verdana" w:hAnsi="Verdana" w:cstheme="minorHAnsi"/>
              </w:rPr>
            </w:pPr>
            <w:r w:rsidRPr="005D32DD">
              <w:rPr>
                <w:rFonts w:ascii="Verdana" w:hAnsi="Verdana" w:cstheme="minorHAnsi"/>
              </w:rPr>
              <w:t>Quienes ejercen actividades de importación, fabricación instalación y comercialización de equipos, sistemas y medios tecnológicos para vigilancia y seguridad privada.</w:t>
            </w:r>
          </w:p>
        </w:tc>
        <w:tc>
          <w:tcPr>
            <w:tcW w:w="3544" w:type="dxa"/>
            <w:vMerge/>
            <w:vAlign w:val="center"/>
          </w:tcPr>
          <w:p w14:paraId="6AB5BD05" w14:textId="77777777" w:rsidR="00B67AED" w:rsidRPr="005D32DD" w:rsidRDefault="00B67AED" w:rsidP="00084B5A">
            <w:pPr>
              <w:rPr>
                <w:rFonts w:ascii="Verdana" w:hAnsi="Verdana" w:cstheme="minorHAnsi"/>
              </w:rPr>
            </w:pPr>
          </w:p>
        </w:tc>
        <w:tc>
          <w:tcPr>
            <w:tcW w:w="992" w:type="dxa"/>
            <w:vMerge/>
            <w:vAlign w:val="center"/>
          </w:tcPr>
          <w:p w14:paraId="59215F94" w14:textId="77777777" w:rsidR="00B67AED" w:rsidRPr="005D32DD" w:rsidRDefault="00B67AED" w:rsidP="00084B5A">
            <w:pPr>
              <w:keepNext/>
              <w:rPr>
                <w:rFonts w:ascii="Verdana" w:hAnsi="Verdana" w:cstheme="minorHAnsi"/>
              </w:rPr>
            </w:pPr>
          </w:p>
        </w:tc>
      </w:tr>
    </w:tbl>
    <w:p w14:paraId="28AB9494" w14:textId="77777777" w:rsidR="00B67AED" w:rsidRPr="005D32DD" w:rsidRDefault="00B67AED" w:rsidP="00B67AED">
      <w:pPr>
        <w:jc w:val="both"/>
        <w:rPr>
          <w:rFonts w:ascii="Verdana" w:hAnsi="Verdana" w:cstheme="minorHAnsi"/>
          <w:sz w:val="22"/>
          <w:szCs w:val="22"/>
        </w:rPr>
      </w:pPr>
    </w:p>
    <w:p w14:paraId="596FB739"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Los servicios enunciados en los literales F, G y H no deben reportar Estados Financieros.</w:t>
      </w:r>
    </w:p>
    <w:p w14:paraId="2DD4EE29" w14:textId="77777777" w:rsidR="00B67AED" w:rsidRPr="005D32DD" w:rsidRDefault="00B67AED" w:rsidP="00B67AED">
      <w:pPr>
        <w:jc w:val="both"/>
        <w:rPr>
          <w:rFonts w:ascii="Verdana" w:hAnsi="Verdana" w:cstheme="minorHAnsi"/>
          <w:b/>
          <w:bCs/>
          <w:sz w:val="22"/>
          <w:szCs w:val="22"/>
        </w:rPr>
      </w:pPr>
    </w:p>
    <w:p w14:paraId="5CC15650"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Al reportar la información financiera en el aplicativo que dispone la Superintendencia de Vigilancia y Seguridad privada, los vigilados también generan el valor y la información necesaria para realizar el pago de la contribución.</w:t>
      </w:r>
    </w:p>
    <w:p w14:paraId="0019167B" w14:textId="77777777" w:rsidR="00B67AED" w:rsidRPr="005D32DD" w:rsidRDefault="00B67AED" w:rsidP="00B67AED">
      <w:pPr>
        <w:jc w:val="both"/>
        <w:rPr>
          <w:rFonts w:ascii="Verdana" w:hAnsi="Verdana" w:cstheme="minorHAnsi"/>
          <w:sz w:val="22"/>
          <w:szCs w:val="22"/>
        </w:rPr>
      </w:pPr>
    </w:p>
    <w:p w14:paraId="5D8010DF" w14:textId="77777777" w:rsidR="00B67AED" w:rsidRPr="005D32DD" w:rsidRDefault="00B67AED" w:rsidP="00B67AED">
      <w:pPr>
        <w:pStyle w:val="Ttulo3"/>
        <w:numPr>
          <w:ilvl w:val="2"/>
          <w:numId w:val="11"/>
        </w:numPr>
        <w:rPr>
          <w:rFonts w:ascii="Verdana" w:hAnsi="Verdana" w:cstheme="minorHAnsi"/>
          <w:b/>
          <w:bCs/>
          <w:sz w:val="22"/>
          <w:szCs w:val="22"/>
        </w:rPr>
      </w:pPr>
      <w:hyperlink r:id="rId8" w:history="1">
        <w:bookmarkStart w:id="13" w:name="_Toc147830403"/>
        <w:r w:rsidRPr="005D32DD">
          <w:rPr>
            <w:rStyle w:val="Hipervnculo"/>
            <w:rFonts w:ascii="Verdana" w:hAnsi="Verdana" w:cstheme="minorHAnsi"/>
            <w:b/>
            <w:bCs/>
            <w:color w:val="auto"/>
            <w:sz w:val="22"/>
            <w:szCs w:val="22"/>
          </w:rPr>
          <w:t>Requerimiento especial por inexactitudes en la información financiera</w:t>
        </w:r>
      </w:hyperlink>
      <w:r w:rsidRPr="005D32DD">
        <w:rPr>
          <w:rFonts w:ascii="Verdana" w:hAnsi="Verdana" w:cstheme="minorHAnsi"/>
          <w:b/>
          <w:bCs/>
          <w:color w:val="auto"/>
          <w:sz w:val="22"/>
          <w:szCs w:val="22"/>
        </w:rPr>
        <w:t>.</w:t>
      </w:r>
      <w:bookmarkEnd w:id="13"/>
      <w:r w:rsidRPr="005D32DD">
        <w:rPr>
          <w:rFonts w:ascii="Verdana" w:hAnsi="Verdana" w:cstheme="minorHAnsi"/>
          <w:b/>
          <w:bCs/>
          <w:sz w:val="22"/>
          <w:szCs w:val="22"/>
        </w:rPr>
        <w:t xml:space="preserve"> </w:t>
      </w:r>
    </w:p>
    <w:p w14:paraId="151430F4"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 xml:space="preserve">Si en el resultado de la revisión de la información financiera reportada se encuentra una inexactitud y se debe requerir al vigilado, se diligencia el formato de </w:t>
      </w:r>
      <w:hyperlink r:id="rId9" w:history="1">
        <w:r w:rsidRPr="005D32DD">
          <w:rPr>
            <w:rStyle w:val="Hipervnculo"/>
            <w:rFonts w:ascii="Verdana" w:hAnsi="Verdana" w:cstheme="minorHAnsi"/>
            <w:color w:val="auto"/>
            <w:sz w:val="22"/>
            <w:szCs w:val="22"/>
          </w:rPr>
          <w:t>requerimiento especial por inexactitudes en la información financiera</w:t>
        </w:r>
      </w:hyperlink>
      <w:r w:rsidRPr="005D32DD">
        <w:rPr>
          <w:rFonts w:ascii="Verdana" w:hAnsi="Verdana" w:cstheme="minorHAnsi"/>
          <w:sz w:val="22"/>
          <w:szCs w:val="22"/>
        </w:rPr>
        <w:t xml:space="preserve"> (FOR-GFI-320-046), luego se remite junto a la planilla de comunicaciones oficiales FOR-GDO-330-004 al área de gestión documental, para informar al vigilado sobre su estado con la entidad.</w:t>
      </w:r>
    </w:p>
    <w:p w14:paraId="42A6BE02" w14:textId="77777777" w:rsidR="00B67AED" w:rsidRPr="005D32DD" w:rsidRDefault="00B67AED" w:rsidP="00B67AED">
      <w:pPr>
        <w:jc w:val="both"/>
        <w:rPr>
          <w:rFonts w:ascii="Verdana" w:hAnsi="Verdana" w:cstheme="minorHAnsi"/>
          <w:sz w:val="22"/>
          <w:szCs w:val="22"/>
        </w:rPr>
      </w:pPr>
    </w:p>
    <w:p w14:paraId="11D42381" w14:textId="77777777" w:rsidR="00B67AED" w:rsidRPr="005D32DD" w:rsidRDefault="00B67AED" w:rsidP="00B67AED">
      <w:pPr>
        <w:pStyle w:val="Ttulo2"/>
        <w:numPr>
          <w:ilvl w:val="1"/>
          <w:numId w:val="11"/>
        </w:numPr>
        <w:rPr>
          <w:rFonts w:ascii="Verdana" w:hAnsi="Verdana" w:cstheme="minorHAnsi"/>
          <w:b/>
          <w:bCs/>
          <w:color w:val="auto"/>
          <w:sz w:val="22"/>
          <w:szCs w:val="22"/>
          <w:lang w:eastAsia="en-US"/>
        </w:rPr>
      </w:pPr>
      <w:bookmarkStart w:id="14" w:name="_Toc147830404"/>
      <w:r w:rsidRPr="005D32DD">
        <w:rPr>
          <w:rFonts w:ascii="Verdana" w:hAnsi="Verdana" w:cstheme="minorHAnsi"/>
          <w:b/>
          <w:bCs/>
          <w:color w:val="auto"/>
          <w:sz w:val="22"/>
          <w:szCs w:val="22"/>
          <w:lang w:eastAsia="en-US"/>
        </w:rPr>
        <w:t>PASOS PARA LA REVISIÓN DE PAGO DE LA CONTRIBUCIÓN.</w:t>
      </w:r>
      <w:bookmarkEnd w:id="14"/>
    </w:p>
    <w:p w14:paraId="1262B800"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El profesional del de la labor debe organizar los siguientes documentos, según lo requiera, para comenzar con la revisión y el análisis:</w:t>
      </w:r>
    </w:p>
    <w:p w14:paraId="70398AF3" w14:textId="77777777" w:rsidR="00B67AED" w:rsidRPr="005D32DD" w:rsidRDefault="00B67AED" w:rsidP="00B67AED">
      <w:pPr>
        <w:jc w:val="both"/>
        <w:rPr>
          <w:rFonts w:ascii="Verdana" w:hAnsi="Verdana" w:cstheme="minorHAnsi"/>
          <w:sz w:val="22"/>
          <w:szCs w:val="22"/>
        </w:rPr>
      </w:pPr>
    </w:p>
    <w:p w14:paraId="6A9479E5"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lastRenderedPageBreak/>
        <w:t>Reportes (Aplicativo – web - APO – RENOVA - REGADS – RIFINC –ESTADOS FINANCIEROS).</w:t>
      </w:r>
    </w:p>
    <w:p w14:paraId="5D153C80"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Base de Datos (Bancos, Servicios Vigentes).</w:t>
      </w:r>
    </w:p>
    <w:p w14:paraId="12BEF370"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Matrices (Cálculo, Aclaración, Intereses).</w:t>
      </w:r>
    </w:p>
    <w:p w14:paraId="428DC99B"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Estado de Cuenta.</w:t>
      </w:r>
    </w:p>
    <w:p w14:paraId="547C28CF"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Requerimientos. (ESIGNA – ORFEO)</w:t>
      </w:r>
    </w:p>
    <w:p w14:paraId="3A365D73"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Formatos de Revisión de pagos.</w:t>
      </w:r>
    </w:p>
    <w:p w14:paraId="52ABCCDC"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Una vez organizados los documentos requeridos, se inicia con la verificación de la información y el pago de la cuota de contribución, siguiendo estos pasos:</w:t>
      </w:r>
    </w:p>
    <w:p w14:paraId="23DEE3B9" w14:textId="77777777" w:rsidR="00B67AED" w:rsidRPr="005D32DD" w:rsidRDefault="00B67AED" w:rsidP="00B67AED">
      <w:pPr>
        <w:jc w:val="both"/>
        <w:rPr>
          <w:rFonts w:ascii="Verdana" w:hAnsi="Verdana" w:cstheme="minorHAnsi"/>
          <w:sz w:val="22"/>
          <w:szCs w:val="22"/>
        </w:rPr>
      </w:pPr>
    </w:p>
    <w:p w14:paraId="38D2F4D8" w14:textId="77777777" w:rsidR="00B67AED" w:rsidRPr="005D32DD" w:rsidRDefault="00B67AED" w:rsidP="00B67AED">
      <w:pPr>
        <w:numPr>
          <w:ilvl w:val="0"/>
          <w:numId w:val="10"/>
        </w:numPr>
        <w:spacing w:after="200"/>
        <w:jc w:val="both"/>
        <w:rPr>
          <w:rFonts w:ascii="Verdana" w:hAnsi="Verdana" w:cstheme="minorHAnsi"/>
          <w:sz w:val="22"/>
          <w:szCs w:val="22"/>
        </w:rPr>
      </w:pPr>
      <w:r w:rsidRPr="005D32DD">
        <w:rPr>
          <w:rFonts w:ascii="Verdana" w:hAnsi="Verdana" w:cstheme="minorHAnsi"/>
          <w:sz w:val="22"/>
          <w:szCs w:val="22"/>
        </w:rPr>
        <w:t xml:space="preserve">Al comenzar la revisión se toma el número de NIT de la empresa a revisar y se cruza con la información de la </w:t>
      </w:r>
      <w:r w:rsidRPr="005D32DD">
        <w:rPr>
          <w:rFonts w:ascii="Verdana" w:hAnsi="Verdana" w:cstheme="minorHAnsi"/>
          <w:b/>
          <w:sz w:val="22"/>
          <w:szCs w:val="22"/>
        </w:rPr>
        <w:t>Base de Datos de Servicios Vigente, RUES, Esigna, APO</w:t>
      </w:r>
      <w:r w:rsidRPr="005D32DD">
        <w:rPr>
          <w:rFonts w:ascii="Verdana" w:hAnsi="Verdana" w:cstheme="minorHAnsi"/>
          <w:bCs/>
          <w:sz w:val="22"/>
          <w:szCs w:val="22"/>
        </w:rPr>
        <w:t>. P</w:t>
      </w:r>
      <w:r w:rsidRPr="005D32DD">
        <w:rPr>
          <w:rFonts w:ascii="Verdana" w:hAnsi="Verdana" w:cstheme="minorHAnsi"/>
          <w:sz w:val="22"/>
          <w:szCs w:val="22"/>
        </w:rPr>
        <w:t xml:space="preserve">ara verificar que se encuentra o no en estado VIGENTE. </w:t>
      </w:r>
    </w:p>
    <w:p w14:paraId="1007C4A2" w14:textId="77777777" w:rsidR="00B67AED" w:rsidRPr="005D32DD" w:rsidRDefault="00B67AED" w:rsidP="00B67AED">
      <w:pPr>
        <w:numPr>
          <w:ilvl w:val="0"/>
          <w:numId w:val="10"/>
        </w:numPr>
        <w:spacing w:after="200"/>
        <w:jc w:val="both"/>
        <w:rPr>
          <w:rFonts w:ascii="Verdana" w:hAnsi="Verdana" w:cstheme="minorHAnsi"/>
          <w:sz w:val="22"/>
          <w:szCs w:val="22"/>
        </w:rPr>
      </w:pPr>
      <w:r w:rsidRPr="005D32DD">
        <w:rPr>
          <w:rFonts w:ascii="Verdana" w:hAnsi="Verdana" w:cstheme="minorHAnsi"/>
          <w:sz w:val="22"/>
          <w:szCs w:val="22"/>
        </w:rPr>
        <w:t xml:space="preserve">Posteriormente, en primera instancia se solicita al área </w:t>
      </w:r>
      <w:r w:rsidRPr="005D32DD">
        <w:rPr>
          <w:rFonts w:ascii="Verdana" w:hAnsi="Verdana" w:cstheme="minorHAnsi"/>
          <w:b/>
          <w:bCs/>
          <w:sz w:val="22"/>
          <w:szCs w:val="22"/>
        </w:rPr>
        <w:t>Delegado para la Operación</w:t>
      </w:r>
      <w:r w:rsidRPr="005D32DD">
        <w:rPr>
          <w:rFonts w:ascii="Verdana" w:hAnsi="Verdana" w:cstheme="minorHAnsi"/>
          <w:sz w:val="22"/>
          <w:szCs w:val="22"/>
        </w:rPr>
        <w:t xml:space="preserve"> informar al grupo si existe un acto administrativo donde se haya cancelado la licencia de funcionamiento, acreditación e inscripción en el registro, se valida la fecha de ejecutoria de los actos administrativos en Esigna, grupo de notificaciones y oficina de asesoría jurídica. </w:t>
      </w:r>
    </w:p>
    <w:p w14:paraId="150F3D3E" w14:textId="77777777" w:rsidR="00B67AED" w:rsidRPr="005D32DD" w:rsidRDefault="00B67AED" w:rsidP="00B67AED">
      <w:pPr>
        <w:numPr>
          <w:ilvl w:val="0"/>
          <w:numId w:val="10"/>
        </w:numPr>
        <w:spacing w:after="200"/>
        <w:jc w:val="both"/>
        <w:rPr>
          <w:rFonts w:ascii="Verdana" w:hAnsi="Verdana" w:cstheme="minorHAnsi"/>
          <w:sz w:val="22"/>
          <w:szCs w:val="22"/>
        </w:rPr>
      </w:pPr>
      <w:r w:rsidRPr="005D32DD">
        <w:rPr>
          <w:rFonts w:ascii="Verdana" w:hAnsi="Verdana" w:cstheme="minorHAnsi"/>
          <w:sz w:val="22"/>
          <w:szCs w:val="22"/>
        </w:rPr>
        <w:t>Una vez verificada la fecha de ejecutoria de los actos administrativos, se ingresa al aplicativo el reporte de información financiera, luego se confirma base gravable y se liquida la cuota de contribución aplicando la tarifa de acuerdo con el servicio.</w:t>
      </w:r>
    </w:p>
    <w:p w14:paraId="04AD2475" w14:textId="77777777" w:rsidR="00B67AED" w:rsidRPr="005D32DD" w:rsidRDefault="00B67AED" w:rsidP="00B67AED">
      <w:pPr>
        <w:pStyle w:val="Prrafodelista"/>
        <w:numPr>
          <w:ilvl w:val="0"/>
          <w:numId w:val="14"/>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 xml:space="preserve">Si se encuentra alguna alteración en la información suministrada se debe informar mediante memorando a la oficina </w:t>
      </w:r>
      <w:r w:rsidRPr="005D32DD">
        <w:rPr>
          <w:rFonts w:ascii="Verdana" w:hAnsi="Verdana" w:cstheme="minorHAnsi"/>
          <w:b/>
          <w:bCs/>
        </w:rPr>
        <w:t>Delegada para el Control</w:t>
      </w:r>
      <w:r w:rsidRPr="005D32DD">
        <w:rPr>
          <w:rFonts w:ascii="Verdana" w:hAnsi="Verdana" w:cstheme="minorHAnsi"/>
        </w:rPr>
        <w:t>.</w:t>
      </w:r>
    </w:p>
    <w:p w14:paraId="015C4113" w14:textId="77777777" w:rsidR="00B67AED" w:rsidRPr="005D32DD" w:rsidRDefault="00B67AED" w:rsidP="00B67AED">
      <w:pPr>
        <w:numPr>
          <w:ilvl w:val="0"/>
          <w:numId w:val="10"/>
        </w:numPr>
        <w:spacing w:after="200"/>
        <w:jc w:val="both"/>
        <w:rPr>
          <w:rFonts w:ascii="Verdana" w:hAnsi="Verdana" w:cstheme="minorHAnsi"/>
          <w:sz w:val="22"/>
          <w:szCs w:val="22"/>
        </w:rPr>
      </w:pPr>
      <w:r w:rsidRPr="005D32DD">
        <w:rPr>
          <w:rFonts w:ascii="Verdana" w:hAnsi="Verdana" w:cstheme="minorHAnsi"/>
          <w:sz w:val="22"/>
          <w:szCs w:val="22"/>
        </w:rPr>
        <w:t xml:space="preserve">Luego, de acuerdo con el servicio a realizar, se diligencia el </w:t>
      </w:r>
      <w:r w:rsidRPr="005D32DD">
        <w:rPr>
          <w:rFonts w:ascii="Verdana" w:hAnsi="Verdana" w:cstheme="minorHAnsi"/>
          <w:b/>
          <w:sz w:val="22"/>
          <w:szCs w:val="22"/>
        </w:rPr>
        <w:t xml:space="preserve">Formato de revisión de Pagos </w:t>
      </w:r>
      <w:r w:rsidRPr="005D32DD">
        <w:rPr>
          <w:rFonts w:ascii="Verdana" w:hAnsi="Verdana" w:cstheme="minorHAnsi"/>
          <w:bCs/>
          <w:sz w:val="22"/>
          <w:szCs w:val="22"/>
        </w:rPr>
        <w:t xml:space="preserve">(Tabla 4), que contiene </w:t>
      </w:r>
      <w:r w:rsidRPr="005D32DD">
        <w:rPr>
          <w:rFonts w:ascii="Verdana" w:hAnsi="Verdana" w:cstheme="minorHAnsi"/>
          <w:sz w:val="22"/>
          <w:szCs w:val="22"/>
        </w:rPr>
        <w:t>la siguiente información:</w:t>
      </w:r>
    </w:p>
    <w:p w14:paraId="4B391B97" w14:textId="77777777" w:rsidR="00B67AED" w:rsidRPr="005D32DD" w:rsidRDefault="00B67AED" w:rsidP="00B67AED">
      <w:pPr>
        <w:pStyle w:val="Prrafodelista"/>
        <w:numPr>
          <w:ilvl w:val="0"/>
          <w:numId w:val="9"/>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Información general de la empresa</w:t>
      </w:r>
    </w:p>
    <w:p w14:paraId="68E457B4" w14:textId="77777777" w:rsidR="00B67AED" w:rsidRPr="005D32DD" w:rsidRDefault="00B67AED" w:rsidP="00B67AED">
      <w:pPr>
        <w:pStyle w:val="Prrafodelista"/>
        <w:spacing w:after="200"/>
        <w:ind w:left="1068"/>
        <w:jc w:val="both"/>
        <w:rPr>
          <w:rFonts w:ascii="Verdana" w:hAnsi="Verdana" w:cstheme="minorHAnsi"/>
        </w:rPr>
      </w:pPr>
    </w:p>
    <w:p w14:paraId="1B05969E" w14:textId="77777777" w:rsidR="00B67AED" w:rsidRPr="005D32DD" w:rsidRDefault="00B67AED" w:rsidP="00B67AED">
      <w:pPr>
        <w:pStyle w:val="Prrafodelista"/>
        <w:numPr>
          <w:ilvl w:val="0"/>
          <w:numId w:val="9"/>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Información Financiera: se diligencia con los valores de la información reportada a través del aplicativo de recepción financiera de acuerdo con los requerimientos de cada servicio.</w:t>
      </w:r>
    </w:p>
    <w:p w14:paraId="406FF966" w14:textId="77777777" w:rsidR="00B67AED" w:rsidRPr="005D32DD" w:rsidRDefault="00B67AED" w:rsidP="00B67AED">
      <w:pPr>
        <w:pStyle w:val="Prrafodelista"/>
        <w:rPr>
          <w:rFonts w:ascii="Verdana" w:hAnsi="Verdana" w:cstheme="minorHAnsi"/>
        </w:rPr>
      </w:pPr>
    </w:p>
    <w:p w14:paraId="22BF9B45" w14:textId="77777777" w:rsidR="00B67AED" w:rsidRPr="005D32DD" w:rsidRDefault="00B67AED" w:rsidP="00B67AED">
      <w:pPr>
        <w:pStyle w:val="Descripcin"/>
        <w:jc w:val="center"/>
        <w:rPr>
          <w:rFonts w:ascii="Verdana" w:hAnsi="Verdana" w:cstheme="minorHAnsi"/>
          <w:b/>
          <w:bCs/>
          <w:color w:val="auto"/>
          <w:sz w:val="22"/>
          <w:szCs w:val="22"/>
        </w:rPr>
      </w:pPr>
      <w:bookmarkStart w:id="15" w:name="_Toc148523347"/>
      <w:r w:rsidRPr="005D32DD">
        <w:rPr>
          <w:rFonts w:ascii="Verdana" w:hAnsi="Verdana" w:cstheme="minorHAnsi"/>
          <w:b/>
          <w:bCs/>
          <w:color w:val="auto"/>
          <w:sz w:val="22"/>
          <w:szCs w:val="22"/>
        </w:rPr>
        <w:t xml:space="preserve">Tabla </w:t>
      </w:r>
      <w:r w:rsidRPr="005D32DD">
        <w:rPr>
          <w:rFonts w:ascii="Verdana" w:hAnsi="Verdana" w:cstheme="minorHAnsi"/>
          <w:b/>
          <w:bCs/>
          <w:color w:val="auto"/>
          <w:sz w:val="22"/>
          <w:szCs w:val="22"/>
        </w:rPr>
        <w:fldChar w:fldCharType="begin"/>
      </w:r>
      <w:r w:rsidRPr="005D32DD">
        <w:rPr>
          <w:rFonts w:ascii="Verdana" w:hAnsi="Verdana" w:cstheme="minorHAnsi"/>
          <w:b/>
          <w:bCs/>
          <w:color w:val="auto"/>
          <w:sz w:val="22"/>
          <w:szCs w:val="22"/>
        </w:rPr>
        <w:instrText xml:space="preserve"> SEQ Tabla \* ARABIC </w:instrText>
      </w:r>
      <w:r w:rsidRPr="005D32DD">
        <w:rPr>
          <w:rFonts w:ascii="Verdana" w:hAnsi="Verdana" w:cstheme="minorHAnsi"/>
          <w:b/>
          <w:bCs/>
          <w:color w:val="auto"/>
          <w:sz w:val="22"/>
          <w:szCs w:val="22"/>
        </w:rPr>
        <w:fldChar w:fldCharType="separate"/>
      </w:r>
      <w:r w:rsidRPr="005D32DD">
        <w:rPr>
          <w:rFonts w:ascii="Verdana" w:hAnsi="Verdana" w:cstheme="minorHAnsi"/>
          <w:b/>
          <w:bCs/>
          <w:noProof/>
          <w:color w:val="auto"/>
          <w:sz w:val="22"/>
          <w:szCs w:val="22"/>
        </w:rPr>
        <w:t>4</w:t>
      </w:r>
      <w:r w:rsidRPr="005D32DD">
        <w:rPr>
          <w:rFonts w:ascii="Verdana" w:hAnsi="Verdana" w:cstheme="minorHAnsi"/>
          <w:b/>
          <w:bCs/>
          <w:color w:val="auto"/>
          <w:sz w:val="22"/>
          <w:szCs w:val="22"/>
        </w:rPr>
        <w:fldChar w:fldCharType="end"/>
      </w:r>
      <w:r w:rsidRPr="005D32DD">
        <w:rPr>
          <w:rFonts w:ascii="Verdana" w:hAnsi="Verdana" w:cstheme="minorHAnsi"/>
          <w:b/>
          <w:bCs/>
          <w:color w:val="auto"/>
          <w:sz w:val="22"/>
          <w:szCs w:val="22"/>
        </w:rPr>
        <w:t xml:space="preserve"> Formatos de revisión.</w:t>
      </w:r>
      <w:bookmarkEnd w:id="15"/>
    </w:p>
    <w:tbl>
      <w:tblPr>
        <w:tblStyle w:val="Tablaconcuadrcula"/>
        <w:tblW w:w="8925" w:type="dxa"/>
        <w:jc w:val="center"/>
        <w:tblLook w:val="04A0" w:firstRow="1" w:lastRow="0" w:firstColumn="1" w:lastColumn="0" w:noHBand="0" w:noVBand="1"/>
      </w:tblPr>
      <w:tblGrid>
        <w:gridCol w:w="8925"/>
      </w:tblGrid>
      <w:tr w:rsidR="00B67AED" w:rsidRPr="005D32DD" w14:paraId="40A27DC1" w14:textId="77777777" w:rsidTr="00084B5A">
        <w:trPr>
          <w:trHeight w:val="469"/>
          <w:tblHeader/>
          <w:jc w:val="center"/>
        </w:trPr>
        <w:tc>
          <w:tcPr>
            <w:tcW w:w="8925" w:type="dxa"/>
            <w:vAlign w:val="center"/>
          </w:tcPr>
          <w:p w14:paraId="2BB4580C" w14:textId="77777777" w:rsidR="00B67AED" w:rsidRPr="005D32DD" w:rsidRDefault="00B67AED" w:rsidP="00084B5A">
            <w:pPr>
              <w:spacing w:after="200"/>
              <w:jc w:val="center"/>
              <w:rPr>
                <w:rFonts w:ascii="Verdana" w:hAnsi="Verdana" w:cstheme="minorHAnsi"/>
                <w:b/>
                <w:bCs/>
              </w:rPr>
            </w:pPr>
            <w:r w:rsidRPr="005D32DD">
              <w:rPr>
                <w:rFonts w:ascii="Verdana" w:hAnsi="Verdana" w:cstheme="minorHAnsi"/>
                <w:b/>
                <w:bCs/>
              </w:rPr>
              <w:t>FORMATOS DE REVISION DE SERVICIOS</w:t>
            </w:r>
          </w:p>
        </w:tc>
      </w:tr>
      <w:tr w:rsidR="00B67AED" w:rsidRPr="005D32DD" w14:paraId="26424F43" w14:textId="77777777" w:rsidTr="00084B5A">
        <w:trPr>
          <w:trHeight w:val="342"/>
          <w:jc w:val="center"/>
        </w:trPr>
        <w:tc>
          <w:tcPr>
            <w:tcW w:w="8925" w:type="dxa"/>
          </w:tcPr>
          <w:p w14:paraId="34BF3433" w14:textId="77777777" w:rsidR="00B67AED" w:rsidRPr="005D32DD" w:rsidRDefault="00B67AED" w:rsidP="00084B5A">
            <w:pPr>
              <w:spacing w:after="200"/>
              <w:jc w:val="center"/>
              <w:rPr>
                <w:rFonts w:ascii="Verdana" w:hAnsi="Verdana" w:cstheme="minorHAnsi"/>
              </w:rPr>
            </w:pPr>
            <w:r w:rsidRPr="005D32DD">
              <w:rPr>
                <w:rFonts w:ascii="Verdana" w:hAnsi="Verdana" w:cstheme="minorHAnsi"/>
              </w:rPr>
              <w:t>Formato Revisión de Pagos por Capital FOR-GFI-320-004</w:t>
            </w:r>
          </w:p>
        </w:tc>
      </w:tr>
      <w:tr w:rsidR="00B67AED" w:rsidRPr="005D32DD" w14:paraId="4491B48F" w14:textId="77777777" w:rsidTr="00084B5A">
        <w:trPr>
          <w:trHeight w:val="440"/>
          <w:jc w:val="center"/>
        </w:trPr>
        <w:tc>
          <w:tcPr>
            <w:tcW w:w="8925" w:type="dxa"/>
          </w:tcPr>
          <w:p w14:paraId="58E782CC" w14:textId="77777777" w:rsidR="00B67AED" w:rsidRPr="005D32DD" w:rsidRDefault="00B67AED" w:rsidP="00084B5A">
            <w:pPr>
              <w:spacing w:after="200"/>
              <w:jc w:val="center"/>
              <w:rPr>
                <w:rFonts w:ascii="Verdana" w:hAnsi="Verdana" w:cstheme="minorHAnsi"/>
              </w:rPr>
            </w:pPr>
            <w:r w:rsidRPr="005D32DD">
              <w:rPr>
                <w:rFonts w:ascii="Verdana" w:hAnsi="Verdana" w:cstheme="minorHAnsi"/>
              </w:rPr>
              <w:t>Formato Revisión de Pagos por Ingresos FOR-GFI-320-012</w:t>
            </w:r>
          </w:p>
        </w:tc>
      </w:tr>
      <w:tr w:rsidR="00B67AED" w:rsidRPr="005D32DD" w14:paraId="42A3E859" w14:textId="77777777" w:rsidTr="00084B5A">
        <w:trPr>
          <w:trHeight w:val="299"/>
          <w:jc w:val="center"/>
        </w:trPr>
        <w:tc>
          <w:tcPr>
            <w:tcW w:w="8925" w:type="dxa"/>
          </w:tcPr>
          <w:p w14:paraId="24C8B3BC" w14:textId="77777777" w:rsidR="00B67AED" w:rsidRPr="005D32DD" w:rsidRDefault="00B67AED" w:rsidP="00084B5A">
            <w:pPr>
              <w:keepNext/>
              <w:spacing w:after="200"/>
              <w:jc w:val="center"/>
              <w:rPr>
                <w:rFonts w:ascii="Verdana" w:hAnsi="Verdana" w:cstheme="minorHAnsi"/>
              </w:rPr>
            </w:pPr>
            <w:r w:rsidRPr="005D32DD">
              <w:rPr>
                <w:rFonts w:ascii="Verdana" w:hAnsi="Verdana" w:cstheme="minorHAnsi"/>
              </w:rPr>
              <w:t>Formato Revisión de Pagos Departamentos de Seguridad y Servicios Comunitarios. FOR-GFI-320-014</w:t>
            </w:r>
          </w:p>
        </w:tc>
      </w:tr>
    </w:tbl>
    <w:p w14:paraId="017032FF" w14:textId="77777777" w:rsidR="005D32DD" w:rsidRDefault="005D32DD" w:rsidP="005D32DD">
      <w:pPr>
        <w:spacing w:after="200"/>
        <w:ind w:left="720"/>
        <w:jc w:val="both"/>
        <w:rPr>
          <w:rFonts w:ascii="Verdana" w:hAnsi="Verdana" w:cstheme="minorHAnsi"/>
          <w:sz w:val="22"/>
          <w:szCs w:val="22"/>
        </w:rPr>
      </w:pPr>
    </w:p>
    <w:p w14:paraId="251568E3" w14:textId="53947598" w:rsidR="00B67AED" w:rsidRPr="005D32DD" w:rsidRDefault="00B67AED" w:rsidP="00B67AED">
      <w:pPr>
        <w:numPr>
          <w:ilvl w:val="0"/>
          <w:numId w:val="10"/>
        </w:numPr>
        <w:spacing w:after="200"/>
        <w:jc w:val="both"/>
        <w:rPr>
          <w:rFonts w:ascii="Verdana" w:hAnsi="Verdana" w:cstheme="minorHAnsi"/>
          <w:sz w:val="22"/>
          <w:szCs w:val="22"/>
        </w:rPr>
      </w:pPr>
      <w:r w:rsidRPr="005D32DD">
        <w:rPr>
          <w:rFonts w:ascii="Verdana" w:hAnsi="Verdana" w:cstheme="minorHAnsi"/>
          <w:sz w:val="22"/>
          <w:szCs w:val="22"/>
        </w:rPr>
        <w:t xml:space="preserve">Se confronta con la </w:t>
      </w:r>
      <w:r w:rsidRPr="00206974">
        <w:rPr>
          <w:rFonts w:ascii="Verdana" w:hAnsi="Verdana" w:cstheme="minorHAnsi"/>
          <w:b/>
          <w:color w:val="4472C4" w:themeColor="accent1"/>
          <w:sz w:val="22"/>
          <w:szCs w:val="22"/>
        </w:rPr>
        <w:t>Base de Datos de Bancos</w:t>
      </w:r>
      <w:r w:rsidRPr="005D32DD">
        <w:rPr>
          <w:rFonts w:ascii="Verdana" w:hAnsi="Verdana" w:cstheme="minorHAnsi"/>
          <w:sz w:val="22"/>
          <w:szCs w:val="22"/>
        </w:rPr>
        <w:t>, la fecha y el valor cancelado por el vigilado, verificando si realizó pago total o parcial en las fechas establecidas por la entidad.</w:t>
      </w:r>
    </w:p>
    <w:p w14:paraId="41659C0A" w14:textId="77777777" w:rsidR="00B67AED" w:rsidRPr="005D32DD" w:rsidRDefault="00B67AED" w:rsidP="00B67AED">
      <w:pPr>
        <w:numPr>
          <w:ilvl w:val="0"/>
          <w:numId w:val="10"/>
        </w:numPr>
        <w:spacing w:after="200"/>
        <w:ind w:left="709" w:hanging="284"/>
        <w:jc w:val="both"/>
        <w:rPr>
          <w:rFonts w:ascii="Verdana" w:hAnsi="Verdana" w:cstheme="minorHAnsi"/>
          <w:sz w:val="22"/>
          <w:szCs w:val="22"/>
        </w:rPr>
      </w:pPr>
      <w:r w:rsidRPr="005D32DD">
        <w:rPr>
          <w:rFonts w:ascii="Verdana" w:hAnsi="Verdana" w:cstheme="minorHAnsi"/>
          <w:sz w:val="22"/>
          <w:szCs w:val="22"/>
        </w:rPr>
        <w:lastRenderedPageBreak/>
        <w:t>Se actualiza el Estado de Cuenta con la información obtenida con los procesos anteriores. Esta actualización se debe realizar de la siguiente manera:</w:t>
      </w:r>
    </w:p>
    <w:p w14:paraId="722001B9" w14:textId="77777777" w:rsidR="00B67AED" w:rsidRPr="005D32DD" w:rsidRDefault="00B67AED" w:rsidP="00B67AED">
      <w:pPr>
        <w:pStyle w:val="Prrafodelista"/>
        <w:numPr>
          <w:ilvl w:val="0"/>
          <w:numId w:val="15"/>
        </w:numPr>
        <w:suppressAutoHyphens w:val="0"/>
        <w:autoSpaceDN/>
        <w:contextualSpacing/>
        <w:jc w:val="both"/>
        <w:textAlignment w:val="auto"/>
        <w:rPr>
          <w:rFonts w:ascii="Verdana" w:hAnsi="Verdana" w:cstheme="minorHAnsi"/>
        </w:rPr>
      </w:pPr>
      <w:r w:rsidRPr="005D32DD">
        <w:rPr>
          <w:rFonts w:ascii="Verdana" w:hAnsi="Verdana" w:cstheme="minorHAnsi"/>
        </w:rPr>
        <w:t>Se realiza la actualización fecha límite de pago de la vigencia.</w:t>
      </w:r>
    </w:p>
    <w:p w14:paraId="50EF0B18" w14:textId="77777777" w:rsidR="00B67AED" w:rsidRPr="005D32DD" w:rsidRDefault="00B67AED" w:rsidP="00B67AED">
      <w:pPr>
        <w:pStyle w:val="Prrafodelista"/>
        <w:numPr>
          <w:ilvl w:val="0"/>
          <w:numId w:val="15"/>
        </w:numPr>
        <w:suppressAutoHyphens w:val="0"/>
        <w:autoSpaceDN/>
        <w:contextualSpacing/>
        <w:jc w:val="both"/>
        <w:textAlignment w:val="auto"/>
        <w:rPr>
          <w:rFonts w:ascii="Verdana" w:hAnsi="Verdana" w:cstheme="minorHAnsi"/>
        </w:rPr>
      </w:pPr>
      <w:r w:rsidRPr="005D32DD">
        <w:rPr>
          <w:rFonts w:ascii="Verdana" w:hAnsi="Verdana" w:cstheme="minorHAnsi"/>
        </w:rPr>
        <w:t>Se calcula el valor a pagar de la contribución.</w:t>
      </w:r>
    </w:p>
    <w:p w14:paraId="7D897F57" w14:textId="77777777" w:rsidR="00B67AED" w:rsidRPr="005D32DD" w:rsidRDefault="00B67AED" w:rsidP="00B67AED">
      <w:pPr>
        <w:pStyle w:val="Prrafodelista"/>
        <w:numPr>
          <w:ilvl w:val="0"/>
          <w:numId w:val="15"/>
        </w:numPr>
        <w:suppressAutoHyphens w:val="0"/>
        <w:autoSpaceDN/>
        <w:contextualSpacing/>
        <w:jc w:val="both"/>
        <w:textAlignment w:val="auto"/>
        <w:rPr>
          <w:rFonts w:ascii="Verdana" w:hAnsi="Verdana" w:cstheme="minorHAnsi"/>
        </w:rPr>
      </w:pPr>
      <w:r w:rsidRPr="005D32DD">
        <w:rPr>
          <w:rFonts w:ascii="Verdana" w:hAnsi="Verdana" w:cstheme="minorHAnsi"/>
        </w:rPr>
        <w:t>Se verifica el formato de bancos, tomando el valor pagado y la fecha de pago.</w:t>
      </w:r>
    </w:p>
    <w:p w14:paraId="1EE734D4" w14:textId="77777777" w:rsidR="00B67AED" w:rsidRPr="005D32DD" w:rsidRDefault="00B67AED" w:rsidP="00B67AED">
      <w:pPr>
        <w:pStyle w:val="Prrafodelista"/>
        <w:numPr>
          <w:ilvl w:val="0"/>
          <w:numId w:val="15"/>
        </w:numPr>
        <w:suppressAutoHyphens w:val="0"/>
        <w:autoSpaceDN/>
        <w:contextualSpacing/>
        <w:jc w:val="both"/>
        <w:textAlignment w:val="auto"/>
        <w:rPr>
          <w:rFonts w:ascii="Verdana" w:hAnsi="Verdana" w:cstheme="minorHAnsi"/>
        </w:rPr>
      </w:pPr>
      <w:r w:rsidRPr="005D32DD">
        <w:rPr>
          <w:rFonts w:ascii="Verdana" w:hAnsi="Verdana" w:cstheme="minorHAnsi"/>
        </w:rPr>
        <w:t>Se calculan intereses moratorios si la fecha de pago sobrepasa la fecha límite.</w:t>
      </w:r>
    </w:p>
    <w:p w14:paraId="26E2652F" w14:textId="77777777" w:rsidR="00B67AED" w:rsidRPr="005D32DD" w:rsidRDefault="00B67AED" w:rsidP="00B67AED">
      <w:pPr>
        <w:ind w:left="360"/>
        <w:jc w:val="both"/>
        <w:rPr>
          <w:rFonts w:ascii="Verdana" w:hAnsi="Verdana" w:cstheme="minorHAnsi"/>
          <w:sz w:val="22"/>
          <w:szCs w:val="22"/>
          <w:highlight w:val="yellow"/>
        </w:rPr>
      </w:pPr>
    </w:p>
    <w:p w14:paraId="56509071"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 xml:space="preserve">Los vigilados que cumplieron con el pago de la cuota de contribución, se registran en la base de datos o carpetas compartidas. Si el vigilado no realiza el pago total de la contribución, se procede elaborar un comunicado de emplazamiento por pago o pago parcial de la cuota de contribución (FOR-GFI-320-047). </w:t>
      </w:r>
    </w:p>
    <w:p w14:paraId="6BC22D1E" w14:textId="77777777" w:rsidR="00B67AED" w:rsidRPr="005D32DD" w:rsidRDefault="00B67AED" w:rsidP="00B67AED">
      <w:pPr>
        <w:jc w:val="both"/>
        <w:rPr>
          <w:rFonts w:ascii="Verdana" w:hAnsi="Verdana" w:cstheme="minorHAnsi"/>
          <w:sz w:val="22"/>
          <w:szCs w:val="22"/>
        </w:rPr>
      </w:pPr>
    </w:p>
    <w:p w14:paraId="1349D196" w14:textId="77777777" w:rsidR="00B67AED" w:rsidRPr="005D32DD" w:rsidRDefault="00B67AED" w:rsidP="00B67AED">
      <w:pPr>
        <w:pStyle w:val="Ttulo3"/>
        <w:numPr>
          <w:ilvl w:val="2"/>
          <w:numId w:val="11"/>
        </w:numPr>
        <w:rPr>
          <w:rFonts w:ascii="Verdana" w:hAnsi="Verdana" w:cstheme="minorHAnsi"/>
          <w:b/>
          <w:bCs/>
          <w:sz w:val="22"/>
          <w:szCs w:val="22"/>
        </w:rPr>
      </w:pPr>
      <w:bookmarkStart w:id="16" w:name="_Toc147830405"/>
      <w:r w:rsidRPr="005D32DD">
        <w:rPr>
          <w:rFonts w:ascii="Verdana" w:hAnsi="Verdana" w:cstheme="minorHAnsi"/>
          <w:b/>
          <w:bCs/>
          <w:color w:val="auto"/>
          <w:sz w:val="22"/>
          <w:szCs w:val="22"/>
        </w:rPr>
        <w:t>Emplazamiento por no pago de cuota de contribución.</w:t>
      </w:r>
      <w:bookmarkEnd w:id="16"/>
      <w:r w:rsidRPr="005D32DD">
        <w:rPr>
          <w:rFonts w:ascii="Verdana" w:hAnsi="Verdana" w:cstheme="minorHAnsi"/>
          <w:b/>
          <w:bCs/>
          <w:sz w:val="22"/>
          <w:szCs w:val="22"/>
        </w:rPr>
        <w:t xml:space="preserve"> </w:t>
      </w:r>
    </w:p>
    <w:p w14:paraId="11FA1A5F" w14:textId="77777777" w:rsidR="00B67AED" w:rsidRPr="005D32DD" w:rsidRDefault="00B67AED" w:rsidP="00B67AED">
      <w:pPr>
        <w:jc w:val="both"/>
        <w:rPr>
          <w:rFonts w:ascii="Verdana" w:hAnsi="Verdana" w:cstheme="minorHAnsi"/>
          <w:sz w:val="22"/>
          <w:szCs w:val="22"/>
        </w:rPr>
      </w:pPr>
      <w:r w:rsidRPr="005D32DD">
        <w:rPr>
          <w:rFonts w:ascii="Verdana" w:hAnsi="Verdana" w:cstheme="minorHAnsi"/>
          <w:sz w:val="22"/>
          <w:szCs w:val="22"/>
        </w:rPr>
        <w:t xml:space="preserve">Se diligencia el formato de comunicado de emplazamiento por no pago de cuota de contribución (FOR-GFI-320-047), luego se remite junto a la planilla de comunicaciones oficiales FOR-GDO-330-004 al área de gestión documental, para informar al vigilado sobre su estado con la entidad. </w:t>
      </w:r>
    </w:p>
    <w:p w14:paraId="42D26ECD" w14:textId="77777777" w:rsidR="00B67AED" w:rsidRPr="005D32DD" w:rsidRDefault="00B67AED" w:rsidP="00B67AED">
      <w:pPr>
        <w:jc w:val="both"/>
        <w:rPr>
          <w:rFonts w:ascii="Verdana" w:hAnsi="Verdana" w:cstheme="minorHAnsi"/>
          <w:sz w:val="22"/>
          <w:szCs w:val="22"/>
        </w:rPr>
      </w:pPr>
    </w:p>
    <w:p w14:paraId="1DF18278" w14:textId="77777777" w:rsidR="00B67AED" w:rsidRPr="005D32DD" w:rsidRDefault="00B67AED" w:rsidP="00B67AED">
      <w:pPr>
        <w:pStyle w:val="Prrafodelista"/>
        <w:numPr>
          <w:ilvl w:val="0"/>
          <w:numId w:val="15"/>
        </w:numPr>
        <w:suppressAutoHyphens w:val="0"/>
        <w:autoSpaceDN/>
        <w:spacing w:after="200"/>
        <w:contextualSpacing/>
        <w:jc w:val="both"/>
        <w:textAlignment w:val="auto"/>
        <w:rPr>
          <w:rFonts w:ascii="Verdana" w:hAnsi="Verdana" w:cstheme="minorHAnsi"/>
        </w:rPr>
      </w:pPr>
      <w:r w:rsidRPr="005D32DD">
        <w:rPr>
          <w:rFonts w:ascii="Verdana" w:hAnsi="Verdana" w:cstheme="minorHAnsi"/>
          <w:lang w:eastAsia="en-US"/>
        </w:rPr>
        <w:t>En la comunicación del requerimiento al vigilado, se debe verificar que dicha comunicación llegue de manera efectiva.</w:t>
      </w:r>
    </w:p>
    <w:p w14:paraId="552700D2"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El vigilado después de haber recibido el comunicado tiene un mes de plazo (30 días) para responder dicho comunicado de emplazamiento. Cumplido el plazo establecido en el emplazamiento para el pago de la cuota de contribución por parte del vigilado, el profesional del grupo financiero debe volver hacer la verificación de información siguiendo los pasos para la revisión del pago de la cuota de contribución, asegurándose del registro o pago del vigilado en las fechas establecidas.</w:t>
      </w:r>
    </w:p>
    <w:p w14:paraId="54576037"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Si al hacer la revisión de pago de los vigilados que fueron comunicados para el emplazamiento, identifica que no a realiza el pago por parte del contribuyente en el plazo establecido, se debe gestionar la realización de la liquidación oficial o de aforo, de vigilado según sea el caso:</w:t>
      </w:r>
    </w:p>
    <w:p w14:paraId="3712F559" w14:textId="77777777" w:rsidR="00B67AED" w:rsidRPr="005D32DD" w:rsidRDefault="00B67AED" w:rsidP="00B67AED">
      <w:pPr>
        <w:pStyle w:val="Prrafodelista"/>
        <w:numPr>
          <w:ilvl w:val="0"/>
          <w:numId w:val="17"/>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Resolución de liquidación oficial - FOR-GFI-320-048</w:t>
      </w:r>
    </w:p>
    <w:p w14:paraId="6D5B293A" w14:textId="77777777" w:rsidR="00B67AED" w:rsidRPr="005D32DD" w:rsidRDefault="00B67AED" w:rsidP="00B67AED">
      <w:pPr>
        <w:pStyle w:val="Prrafodelista"/>
        <w:numPr>
          <w:ilvl w:val="0"/>
          <w:numId w:val="17"/>
        </w:numPr>
        <w:suppressAutoHyphens w:val="0"/>
        <w:autoSpaceDN/>
        <w:spacing w:after="200"/>
        <w:contextualSpacing/>
        <w:jc w:val="both"/>
        <w:textAlignment w:val="auto"/>
        <w:rPr>
          <w:rFonts w:ascii="Verdana" w:hAnsi="Verdana" w:cstheme="minorHAnsi"/>
        </w:rPr>
      </w:pPr>
      <w:r w:rsidRPr="005D32DD">
        <w:rPr>
          <w:rFonts w:ascii="Verdana" w:hAnsi="Verdana" w:cstheme="minorHAnsi"/>
        </w:rPr>
        <w:t>Resolución de liquidación de aforo - FOR-GFI-320-049</w:t>
      </w:r>
    </w:p>
    <w:p w14:paraId="5D49845D"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Hecha resolución de liquidación se remite a la oficina de asesoría jurídica al grupo de cobro coactivo por medio del gestor documental.</w:t>
      </w:r>
    </w:p>
    <w:p w14:paraId="6867CC02"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Por último, Las autoliquidaciones y soportes de pago adjuntos por los vigilados deben ser revisadas, certificadas y archivadas en el expediente de cada vigilado.</w:t>
      </w:r>
    </w:p>
    <w:p w14:paraId="710A5BF7" w14:textId="77777777" w:rsidR="00B67AED" w:rsidRPr="005D32DD" w:rsidRDefault="00B67AED" w:rsidP="00B67AED">
      <w:pPr>
        <w:pStyle w:val="Ttulo3"/>
        <w:numPr>
          <w:ilvl w:val="2"/>
          <w:numId w:val="11"/>
        </w:numPr>
        <w:rPr>
          <w:rFonts w:ascii="Verdana" w:hAnsi="Verdana" w:cstheme="minorHAnsi"/>
          <w:b/>
          <w:bCs/>
          <w:color w:val="auto"/>
          <w:sz w:val="22"/>
          <w:szCs w:val="22"/>
        </w:rPr>
      </w:pPr>
      <w:r w:rsidRPr="005D32DD">
        <w:rPr>
          <w:rFonts w:ascii="Verdana" w:hAnsi="Verdana" w:cstheme="minorHAnsi"/>
          <w:b/>
          <w:bCs/>
          <w:color w:val="auto"/>
          <w:sz w:val="22"/>
          <w:szCs w:val="22"/>
        </w:rPr>
        <w:t xml:space="preserve"> </w:t>
      </w:r>
      <w:bookmarkStart w:id="17" w:name="_Toc147830406"/>
      <w:r w:rsidRPr="005D32DD">
        <w:rPr>
          <w:rFonts w:ascii="Verdana" w:hAnsi="Verdana" w:cstheme="minorHAnsi"/>
          <w:b/>
          <w:bCs/>
          <w:color w:val="auto"/>
          <w:sz w:val="22"/>
          <w:szCs w:val="22"/>
        </w:rPr>
        <w:t>En caso de devolución por pago mayor en la cuota de contribución.</w:t>
      </w:r>
      <w:bookmarkEnd w:id="17"/>
    </w:p>
    <w:p w14:paraId="3576FA82"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Si como resultado de la revisión de pagos se concluye que el valor del pago realizado por el vigilado es mayor al requerido, se debe realizar lo siguiente:</w:t>
      </w:r>
    </w:p>
    <w:p w14:paraId="307516BC" w14:textId="77777777" w:rsidR="00B67AED" w:rsidRPr="005D32DD" w:rsidRDefault="00B67AED" w:rsidP="00B67AED">
      <w:pPr>
        <w:pStyle w:val="Prrafodelista"/>
        <w:numPr>
          <w:ilvl w:val="0"/>
          <w:numId w:val="16"/>
        </w:numPr>
        <w:suppressAutoHyphens w:val="0"/>
        <w:autoSpaceDN/>
        <w:spacing w:after="200" w:line="276" w:lineRule="auto"/>
        <w:contextualSpacing/>
        <w:jc w:val="both"/>
        <w:textAlignment w:val="auto"/>
        <w:rPr>
          <w:rFonts w:ascii="Verdana" w:hAnsi="Verdana" w:cstheme="minorHAnsi"/>
        </w:rPr>
      </w:pPr>
      <w:r w:rsidRPr="005D32DD">
        <w:rPr>
          <w:rFonts w:ascii="Verdana" w:hAnsi="Verdana" w:cstheme="minorHAnsi"/>
        </w:rPr>
        <w:t>Se le informa al vigilado que tiene un saldo a favor, para que genere una solicitud de devolución donde se especifique que no se ha solicitado la devolución a ninguna otra entidad oficial; dicha solicitud debe ir firmada por el representante legal, adjuntando los siguientes documentos:</w:t>
      </w:r>
    </w:p>
    <w:p w14:paraId="16F5E50B" w14:textId="77777777" w:rsidR="00B67AED" w:rsidRPr="005D32DD" w:rsidRDefault="00B67AED" w:rsidP="00B67AED">
      <w:pPr>
        <w:pStyle w:val="Prrafodelista"/>
        <w:numPr>
          <w:ilvl w:val="0"/>
          <w:numId w:val="18"/>
        </w:numPr>
        <w:suppressAutoHyphens w:val="0"/>
        <w:autoSpaceDN/>
        <w:spacing w:after="200" w:line="276" w:lineRule="auto"/>
        <w:contextualSpacing/>
        <w:textAlignment w:val="auto"/>
        <w:rPr>
          <w:rFonts w:ascii="Verdana" w:hAnsi="Verdana" w:cstheme="minorHAnsi"/>
        </w:rPr>
      </w:pPr>
      <w:r w:rsidRPr="005D32DD">
        <w:rPr>
          <w:rFonts w:ascii="Verdana" w:hAnsi="Verdana" w:cstheme="minorHAnsi"/>
        </w:rPr>
        <w:t>Certificado de referencia bancaría (30 días antes).</w:t>
      </w:r>
    </w:p>
    <w:p w14:paraId="72609A0E" w14:textId="77777777" w:rsidR="00B67AED" w:rsidRPr="005D32DD" w:rsidRDefault="00B67AED" w:rsidP="00B67AED">
      <w:pPr>
        <w:pStyle w:val="Prrafodelista"/>
        <w:numPr>
          <w:ilvl w:val="0"/>
          <w:numId w:val="18"/>
        </w:numPr>
        <w:suppressAutoHyphens w:val="0"/>
        <w:autoSpaceDN/>
        <w:spacing w:after="200" w:line="276" w:lineRule="auto"/>
        <w:contextualSpacing/>
        <w:textAlignment w:val="auto"/>
        <w:rPr>
          <w:rFonts w:ascii="Verdana" w:hAnsi="Verdana" w:cstheme="minorHAnsi"/>
        </w:rPr>
      </w:pPr>
      <w:r w:rsidRPr="005D32DD">
        <w:rPr>
          <w:rFonts w:ascii="Verdana" w:hAnsi="Verdana" w:cstheme="minorHAnsi"/>
        </w:rPr>
        <w:lastRenderedPageBreak/>
        <w:t>Fotocopia del documento de identidad del representante legal.</w:t>
      </w:r>
    </w:p>
    <w:p w14:paraId="7F02FABA" w14:textId="77777777" w:rsidR="00B67AED" w:rsidRPr="005D32DD" w:rsidRDefault="00B67AED" w:rsidP="00B67AED">
      <w:pPr>
        <w:pStyle w:val="Prrafodelista"/>
        <w:numPr>
          <w:ilvl w:val="0"/>
          <w:numId w:val="16"/>
        </w:numPr>
        <w:suppressAutoHyphens w:val="0"/>
        <w:autoSpaceDN/>
        <w:spacing w:after="200" w:line="276" w:lineRule="auto"/>
        <w:contextualSpacing/>
        <w:jc w:val="both"/>
        <w:textAlignment w:val="auto"/>
        <w:rPr>
          <w:rFonts w:ascii="Verdana" w:hAnsi="Verdana" w:cstheme="minorHAnsi"/>
        </w:rPr>
      </w:pPr>
      <w:r w:rsidRPr="005D32DD">
        <w:rPr>
          <w:rFonts w:ascii="Verdana" w:hAnsi="Verdana" w:cstheme="minorHAnsi"/>
        </w:rPr>
        <w:t xml:space="preserve">El profesional de gestión financiera debe proyectar una resolución interna de devolución de ingresos firmada por el ordenador del pago. </w:t>
      </w:r>
    </w:p>
    <w:p w14:paraId="3059A449" w14:textId="77777777" w:rsidR="00B67AED" w:rsidRPr="005D32DD" w:rsidRDefault="00B67AED" w:rsidP="00B67AED">
      <w:pPr>
        <w:pStyle w:val="Prrafodelista"/>
        <w:numPr>
          <w:ilvl w:val="0"/>
          <w:numId w:val="16"/>
        </w:numPr>
        <w:suppressAutoHyphens w:val="0"/>
        <w:autoSpaceDN/>
        <w:spacing w:after="200" w:line="276" w:lineRule="auto"/>
        <w:contextualSpacing/>
        <w:jc w:val="both"/>
        <w:textAlignment w:val="auto"/>
        <w:rPr>
          <w:rFonts w:ascii="Verdana" w:hAnsi="Verdana" w:cstheme="minorHAnsi"/>
        </w:rPr>
      </w:pPr>
      <w:r w:rsidRPr="005D32DD">
        <w:rPr>
          <w:rFonts w:ascii="Verdana" w:hAnsi="Verdana" w:cstheme="minorHAnsi"/>
        </w:rPr>
        <w:t>Además de lo anterior, debe adjuntar copia del certificado bancario donde se evidencie el ingreso del dinero a la cuenta de la entidad.</w:t>
      </w:r>
    </w:p>
    <w:p w14:paraId="7A0061F4" w14:textId="77777777" w:rsidR="00B67AED" w:rsidRPr="005D32DD" w:rsidRDefault="00B67AED" w:rsidP="00B67AED">
      <w:pPr>
        <w:pStyle w:val="Prrafodelista"/>
        <w:numPr>
          <w:ilvl w:val="0"/>
          <w:numId w:val="16"/>
        </w:numPr>
        <w:suppressAutoHyphens w:val="0"/>
        <w:autoSpaceDN/>
        <w:spacing w:after="200" w:line="276" w:lineRule="auto"/>
        <w:contextualSpacing/>
        <w:jc w:val="both"/>
        <w:textAlignment w:val="auto"/>
        <w:rPr>
          <w:rFonts w:ascii="Verdana" w:hAnsi="Verdana" w:cstheme="minorHAnsi"/>
        </w:rPr>
      </w:pPr>
      <w:r w:rsidRPr="005D32DD">
        <w:rPr>
          <w:rFonts w:ascii="Verdana" w:hAnsi="Verdana" w:cstheme="minorHAnsi"/>
        </w:rPr>
        <w:t>Por último, el profesional de la labor debe adjuntar estos documentos y radicarlos en el área de tesorería de la entidad para así generar la devolución.</w:t>
      </w:r>
    </w:p>
    <w:p w14:paraId="7BBABAE2" w14:textId="77777777" w:rsidR="00B67AED" w:rsidRPr="005D32DD" w:rsidRDefault="00B67AED" w:rsidP="00B67AED">
      <w:pPr>
        <w:pStyle w:val="Ttulo2"/>
        <w:numPr>
          <w:ilvl w:val="1"/>
          <w:numId w:val="11"/>
        </w:numPr>
        <w:rPr>
          <w:rFonts w:ascii="Verdana" w:hAnsi="Verdana" w:cstheme="minorHAnsi"/>
          <w:b/>
          <w:bCs/>
          <w:color w:val="auto"/>
          <w:sz w:val="22"/>
          <w:szCs w:val="22"/>
          <w:lang w:eastAsia="en-US"/>
        </w:rPr>
      </w:pPr>
      <w:bookmarkStart w:id="18" w:name="_Toc514918676"/>
      <w:bookmarkStart w:id="19" w:name="_Toc147830407"/>
      <w:r w:rsidRPr="005D32DD">
        <w:rPr>
          <w:rFonts w:ascii="Verdana" w:hAnsi="Verdana" w:cstheme="minorHAnsi"/>
          <w:b/>
          <w:bCs/>
          <w:color w:val="auto"/>
          <w:sz w:val="22"/>
          <w:szCs w:val="22"/>
          <w:lang w:eastAsia="en-US"/>
        </w:rPr>
        <w:t>ARCHIVAR DOCUMENTACIÓN.</w:t>
      </w:r>
      <w:bookmarkEnd w:id="18"/>
      <w:bookmarkEnd w:id="19"/>
    </w:p>
    <w:p w14:paraId="45A06A03" w14:textId="77777777" w:rsidR="00B67AED" w:rsidRPr="005D32DD" w:rsidRDefault="00B67AED" w:rsidP="00B67AED">
      <w:pPr>
        <w:rPr>
          <w:rFonts w:ascii="Verdana" w:hAnsi="Verdana" w:cstheme="minorHAnsi"/>
          <w:sz w:val="22"/>
          <w:szCs w:val="22"/>
        </w:rPr>
      </w:pPr>
    </w:p>
    <w:p w14:paraId="360FBCF2" w14:textId="77777777" w:rsidR="00B67AED" w:rsidRPr="005D32DD" w:rsidRDefault="00B67AED" w:rsidP="00B67AED">
      <w:pPr>
        <w:spacing w:after="200"/>
        <w:jc w:val="both"/>
        <w:rPr>
          <w:rFonts w:ascii="Verdana" w:hAnsi="Verdana" w:cstheme="minorHAnsi"/>
          <w:sz w:val="22"/>
          <w:szCs w:val="22"/>
        </w:rPr>
      </w:pPr>
      <w:r w:rsidRPr="005D32DD">
        <w:rPr>
          <w:rFonts w:ascii="Verdana" w:hAnsi="Verdana" w:cstheme="minorHAnsi"/>
          <w:sz w:val="22"/>
          <w:szCs w:val="22"/>
        </w:rPr>
        <w:t>Una vez terminado el procedimiento de revisión del pago de la cuota de contribución. El profesional de la labor debe remitir el formato de revisión de pagos por medio de las carpetas compartidas o impreso, para revisión y firma del coordinador del grupo financiero, luego se debe archivar en el expediente de cada vigilado junto a las autoliquidaciones y soportes de pago adjuntos por los vigilados.</w:t>
      </w:r>
    </w:p>
    <w:p w14:paraId="5F768CD2" w14:textId="0CED9B6A" w:rsidR="001359AE" w:rsidRPr="005D32DD" w:rsidRDefault="001359AE" w:rsidP="005D712D">
      <w:pPr>
        <w:rPr>
          <w:rFonts w:ascii="Verdana" w:hAnsi="Verdana"/>
          <w:sz w:val="22"/>
          <w:szCs w:val="22"/>
        </w:rPr>
      </w:pPr>
    </w:p>
    <w:sectPr w:rsidR="001359AE" w:rsidRPr="005D32DD" w:rsidSect="00137E8A">
      <w:headerReference w:type="default" r:id="rId10"/>
      <w:footerReference w:type="default" r:id="rId11"/>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D623B" w14:textId="77777777" w:rsidR="004911DD" w:rsidRDefault="004911DD" w:rsidP="008B51F5">
      <w:r>
        <w:separator/>
      </w:r>
    </w:p>
  </w:endnote>
  <w:endnote w:type="continuationSeparator" w:id="0">
    <w:p w14:paraId="36DFD79E" w14:textId="77777777" w:rsidR="004911DD" w:rsidRDefault="004911D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159A346F"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B67AED" w:rsidRPr="00B67AED">
      <w:rPr>
        <w:rFonts w:ascii="Montserrat" w:hAnsi="Montserrat"/>
        <w:noProof/>
        <w:sz w:val="14"/>
        <w:lang w:val="es-ES"/>
      </w:rPr>
      <w:t>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B67AED" w:rsidRPr="00B67AED">
      <w:rPr>
        <w:rFonts w:ascii="Montserrat" w:hAnsi="Montserrat"/>
        <w:noProof/>
        <w:sz w:val="14"/>
        <w:lang w:val="es-ES"/>
      </w:rPr>
      <w:t>8</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BC0A939">
              <wp:simplePos x="0" y="0"/>
              <wp:positionH relativeFrom="margin">
                <wp:posOffset>4472941</wp:posOffset>
              </wp:positionH>
              <wp:positionV relativeFrom="paragraph">
                <wp:posOffset>6985</wp:posOffset>
              </wp:positionV>
              <wp:extent cx="16192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428625"/>
                      </a:xfrm>
                      <a:prstGeom prst="rect">
                        <a:avLst/>
                      </a:prstGeom>
                      <a:solidFill>
                        <a:srgbClr val="FFFFFF"/>
                      </a:solidFill>
                      <a:ln>
                        <a:noFill/>
                        <a:prstDash/>
                      </a:ln>
                    </wps:spPr>
                    <wps:txbx>
                      <w:txbxContent>
                        <w:p w14:paraId="460A0BAE" w14:textId="287252FE" w:rsidR="00392618" w:rsidRPr="005D32DD" w:rsidRDefault="00392618" w:rsidP="00392618">
                          <w:pPr>
                            <w:pStyle w:val="NormalWeb"/>
                            <w:rPr>
                              <w:rFonts w:ascii="Verdana" w:hAnsi="Verdana" w:cs="Arial"/>
                              <w:b/>
                              <w:bCs/>
                              <w:color w:val="595959" w:themeColor="text1" w:themeTint="A6"/>
                              <w:kern w:val="24"/>
                              <w:sz w:val="14"/>
                              <w:szCs w:val="16"/>
                            </w:rPr>
                          </w:pPr>
                          <w:r w:rsidRPr="005D32DD">
                            <w:rPr>
                              <w:rFonts w:ascii="Verdana" w:hAnsi="Verdana" w:cs="Arial"/>
                              <w:b/>
                              <w:bCs/>
                              <w:color w:val="595959" w:themeColor="text1" w:themeTint="A6"/>
                              <w:kern w:val="24"/>
                              <w:sz w:val="14"/>
                              <w:szCs w:val="16"/>
                            </w:rPr>
                            <w:t xml:space="preserve">Código: </w:t>
                          </w:r>
                          <w:r w:rsidR="00B67AED" w:rsidRPr="005D32DD">
                            <w:rPr>
                              <w:rFonts w:ascii="Verdana" w:hAnsi="Verdana" w:cs="Arial"/>
                              <w:b/>
                              <w:bCs/>
                              <w:color w:val="595959" w:themeColor="text1" w:themeTint="A6"/>
                              <w:kern w:val="24"/>
                              <w:sz w:val="14"/>
                              <w:szCs w:val="16"/>
                            </w:rPr>
                            <w:t>INS-GFI-320-001</w:t>
                          </w:r>
                        </w:p>
                        <w:p w14:paraId="0A6EE982" w14:textId="483159D5" w:rsidR="00392618" w:rsidRPr="005D32DD" w:rsidRDefault="00635A9D" w:rsidP="00392618">
                          <w:pPr>
                            <w:pStyle w:val="NormalWeb"/>
                            <w:rPr>
                              <w:rFonts w:ascii="Verdana" w:hAnsi="Verdana" w:cs="Arial"/>
                              <w:bCs/>
                              <w:color w:val="595959" w:themeColor="text1" w:themeTint="A6"/>
                              <w:kern w:val="24"/>
                              <w:sz w:val="14"/>
                              <w:szCs w:val="16"/>
                            </w:rPr>
                          </w:pPr>
                          <w:r w:rsidRPr="005D32DD">
                            <w:rPr>
                              <w:rFonts w:ascii="Verdana" w:hAnsi="Verdana" w:cs="Arial"/>
                              <w:bCs/>
                              <w:color w:val="595959" w:themeColor="text1" w:themeTint="A6"/>
                              <w:kern w:val="24"/>
                              <w:sz w:val="14"/>
                              <w:szCs w:val="16"/>
                            </w:rPr>
                            <w:t xml:space="preserve">Fecha aprobación: </w:t>
                          </w:r>
                          <w:r w:rsidR="00206974">
                            <w:rPr>
                              <w:rFonts w:ascii="Verdana" w:hAnsi="Verdana" w:cs="Arial"/>
                              <w:bCs/>
                              <w:color w:val="595959" w:themeColor="text1" w:themeTint="A6"/>
                              <w:kern w:val="24"/>
                              <w:sz w:val="14"/>
                              <w:szCs w:val="16"/>
                            </w:rPr>
                            <w:t>04</w:t>
                          </w:r>
                          <w:r w:rsidR="00B67AED" w:rsidRPr="005D32DD">
                            <w:rPr>
                              <w:rFonts w:ascii="Verdana" w:hAnsi="Verdana" w:cs="Arial"/>
                              <w:bCs/>
                              <w:color w:val="595959" w:themeColor="text1" w:themeTint="A6"/>
                              <w:kern w:val="24"/>
                              <w:sz w:val="14"/>
                              <w:szCs w:val="16"/>
                            </w:rPr>
                            <w:t>/</w:t>
                          </w:r>
                          <w:r w:rsidR="00206974">
                            <w:rPr>
                              <w:rFonts w:ascii="Verdana" w:hAnsi="Verdana" w:cs="Arial"/>
                              <w:bCs/>
                              <w:color w:val="595959" w:themeColor="text1" w:themeTint="A6"/>
                              <w:kern w:val="24"/>
                              <w:sz w:val="14"/>
                              <w:szCs w:val="16"/>
                            </w:rPr>
                            <w:t>10</w:t>
                          </w:r>
                          <w:r w:rsidR="00B67AED" w:rsidRPr="005D32DD">
                            <w:rPr>
                              <w:rFonts w:ascii="Verdana" w:hAnsi="Verdana" w:cs="Arial"/>
                              <w:bCs/>
                              <w:color w:val="595959" w:themeColor="text1" w:themeTint="A6"/>
                              <w:kern w:val="24"/>
                              <w:sz w:val="14"/>
                              <w:szCs w:val="16"/>
                            </w:rPr>
                            <w:t>/2024</w:t>
                          </w:r>
                        </w:p>
                        <w:p w14:paraId="5C00C4CA" w14:textId="0A89B1B6" w:rsidR="00392618" w:rsidRPr="005D32DD" w:rsidRDefault="00B67AED" w:rsidP="00392618">
                          <w:pPr>
                            <w:pStyle w:val="NormalWeb"/>
                            <w:rPr>
                              <w:rFonts w:ascii="Verdana" w:hAnsi="Verdana" w:cs="Arial"/>
                              <w:bCs/>
                              <w:color w:val="595959" w:themeColor="text1" w:themeTint="A6"/>
                              <w:kern w:val="24"/>
                              <w:sz w:val="14"/>
                              <w:szCs w:val="16"/>
                            </w:rPr>
                          </w:pPr>
                          <w:r w:rsidRPr="005D32DD">
                            <w:rPr>
                              <w:rFonts w:ascii="Verdana" w:hAnsi="Verdana" w:cs="Arial"/>
                              <w:bCs/>
                              <w:color w:val="595959" w:themeColor="text1" w:themeTint="A6"/>
                              <w:kern w:val="24"/>
                              <w:sz w:val="14"/>
                              <w:szCs w:val="16"/>
                            </w:rPr>
                            <w:t>Versión: 09</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52.2pt;margin-top:.55pt;width:12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" stroked="f">
              <v:textbox>
                <w:txbxContent>
                  <w:p w14:paraId="460A0BAE" w14:textId="287252FE" w:rsidR="00392618" w:rsidRPr="005D32DD" w:rsidRDefault="00392618" w:rsidP="00392618">
                    <w:pPr>
                      <w:pStyle w:val="NormalWeb"/>
                      <w:rPr>
                        <w:rFonts w:ascii="Verdana" w:hAnsi="Verdana" w:cs="Arial"/>
                        <w:b/>
                        <w:bCs/>
                        <w:color w:val="595959" w:themeColor="text1" w:themeTint="A6"/>
                        <w:kern w:val="24"/>
                        <w:sz w:val="14"/>
                        <w:szCs w:val="16"/>
                      </w:rPr>
                    </w:pPr>
                    <w:r w:rsidRPr="005D32DD">
                      <w:rPr>
                        <w:rFonts w:ascii="Verdana" w:hAnsi="Verdana" w:cs="Arial"/>
                        <w:b/>
                        <w:bCs/>
                        <w:color w:val="595959" w:themeColor="text1" w:themeTint="A6"/>
                        <w:kern w:val="24"/>
                        <w:sz w:val="14"/>
                        <w:szCs w:val="16"/>
                      </w:rPr>
                      <w:t xml:space="preserve">Código: </w:t>
                    </w:r>
                    <w:r w:rsidR="00B67AED" w:rsidRPr="005D32DD">
                      <w:rPr>
                        <w:rFonts w:ascii="Verdana" w:hAnsi="Verdana" w:cs="Arial"/>
                        <w:b/>
                        <w:bCs/>
                        <w:color w:val="595959" w:themeColor="text1" w:themeTint="A6"/>
                        <w:kern w:val="24"/>
                        <w:sz w:val="14"/>
                        <w:szCs w:val="16"/>
                      </w:rPr>
                      <w:t>INS-GFI-320-001</w:t>
                    </w:r>
                  </w:p>
                  <w:p w14:paraId="0A6EE982" w14:textId="483159D5" w:rsidR="00392618" w:rsidRPr="005D32DD" w:rsidRDefault="00635A9D" w:rsidP="00392618">
                    <w:pPr>
                      <w:pStyle w:val="NormalWeb"/>
                      <w:rPr>
                        <w:rFonts w:ascii="Verdana" w:hAnsi="Verdana" w:cs="Arial"/>
                        <w:bCs/>
                        <w:color w:val="595959" w:themeColor="text1" w:themeTint="A6"/>
                        <w:kern w:val="24"/>
                        <w:sz w:val="14"/>
                        <w:szCs w:val="16"/>
                      </w:rPr>
                    </w:pPr>
                    <w:r w:rsidRPr="005D32DD">
                      <w:rPr>
                        <w:rFonts w:ascii="Verdana" w:hAnsi="Verdana" w:cs="Arial"/>
                        <w:bCs/>
                        <w:color w:val="595959" w:themeColor="text1" w:themeTint="A6"/>
                        <w:kern w:val="24"/>
                        <w:sz w:val="14"/>
                        <w:szCs w:val="16"/>
                      </w:rPr>
                      <w:t xml:space="preserve">Fecha aprobación: </w:t>
                    </w:r>
                    <w:r w:rsidR="00206974">
                      <w:rPr>
                        <w:rFonts w:ascii="Verdana" w:hAnsi="Verdana" w:cs="Arial"/>
                        <w:bCs/>
                        <w:color w:val="595959" w:themeColor="text1" w:themeTint="A6"/>
                        <w:kern w:val="24"/>
                        <w:sz w:val="14"/>
                        <w:szCs w:val="16"/>
                      </w:rPr>
                      <w:t>04</w:t>
                    </w:r>
                    <w:r w:rsidR="00B67AED" w:rsidRPr="005D32DD">
                      <w:rPr>
                        <w:rFonts w:ascii="Verdana" w:hAnsi="Verdana" w:cs="Arial"/>
                        <w:bCs/>
                        <w:color w:val="595959" w:themeColor="text1" w:themeTint="A6"/>
                        <w:kern w:val="24"/>
                        <w:sz w:val="14"/>
                        <w:szCs w:val="16"/>
                      </w:rPr>
                      <w:t>/</w:t>
                    </w:r>
                    <w:r w:rsidR="00206974">
                      <w:rPr>
                        <w:rFonts w:ascii="Verdana" w:hAnsi="Verdana" w:cs="Arial"/>
                        <w:bCs/>
                        <w:color w:val="595959" w:themeColor="text1" w:themeTint="A6"/>
                        <w:kern w:val="24"/>
                        <w:sz w:val="14"/>
                        <w:szCs w:val="16"/>
                      </w:rPr>
                      <w:t>10</w:t>
                    </w:r>
                    <w:r w:rsidR="00B67AED" w:rsidRPr="005D32DD">
                      <w:rPr>
                        <w:rFonts w:ascii="Verdana" w:hAnsi="Verdana" w:cs="Arial"/>
                        <w:bCs/>
                        <w:color w:val="595959" w:themeColor="text1" w:themeTint="A6"/>
                        <w:kern w:val="24"/>
                        <w:sz w:val="14"/>
                        <w:szCs w:val="16"/>
                      </w:rPr>
                      <w:t>/2024</w:t>
                    </w:r>
                  </w:p>
                  <w:p w14:paraId="5C00C4CA" w14:textId="0A89B1B6" w:rsidR="00392618" w:rsidRPr="005D32DD" w:rsidRDefault="00B67AED" w:rsidP="00392618">
                    <w:pPr>
                      <w:pStyle w:val="NormalWeb"/>
                      <w:rPr>
                        <w:rFonts w:ascii="Verdana" w:hAnsi="Verdana" w:cs="Arial"/>
                        <w:bCs/>
                        <w:color w:val="595959" w:themeColor="text1" w:themeTint="A6"/>
                        <w:kern w:val="24"/>
                        <w:sz w:val="14"/>
                        <w:szCs w:val="16"/>
                      </w:rPr>
                    </w:pPr>
                    <w:r w:rsidRPr="005D32DD">
                      <w:rPr>
                        <w:rFonts w:ascii="Verdana" w:hAnsi="Verdana" w:cs="Arial"/>
                        <w:bCs/>
                        <w:color w:val="595959" w:themeColor="text1" w:themeTint="A6"/>
                        <w:kern w:val="24"/>
                        <w:sz w:val="14"/>
                        <w:szCs w:val="16"/>
                      </w:rPr>
                      <w:t>Versión: 09</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E378" w14:textId="77777777" w:rsidR="004911DD" w:rsidRDefault="004911DD" w:rsidP="008B51F5">
      <w:r>
        <w:separator/>
      </w:r>
    </w:p>
  </w:footnote>
  <w:footnote w:type="continuationSeparator" w:id="0">
    <w:p w14:paraId="099D0158" w14:textId="77777777" w:rsidR="004911DD" w:rsidRDefault="004911D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0617E12" w:rsidR="000F5FD1" w:rsidRDefault="000F5FD1" w:rsidP="000F5FD1">
    <w:pPr>
      <w:pStyle w:val="Encabezado"/>
      <w:tabs>
        <w:tab w:val="clear" w:pos="4419"/>
        <w:tab w:val="clear" w:pos="8838"/>
        <w:tab w:val="left" w:pos="7275"/>
      </w:tabs>
      <w:ind w:left="-851"/>
      <w:jc w:val="right"/>
    </w:pPr>
  </w:p>
  <w:p w14:paraId="77032520" w14:textId="42F0387C" w:rsidR="006D1FE4" w:rsidRDefault="006D1FE4" w:rsidP="000F5FD1">
    <w:pPr>
      <w:pStyle w:val="Encabezado"/>
      <w:tabs>
        <w:tab w:val="clear" w:pos="4419"/>
        <w:tab w:val="clear" w:pos="8838"/>
        <w:tab w:val="left" w:pos="7275"/>
      </w:tabs>
      <w:ind w:left="-851"/>
      <w:jc w:val="right"/>
    </w:pPr>
  </w:p>
  <w:p w14:paraId="79F1788B" w14:textId="14B3D81F" w:rsidR="006D1FE4" w:rsidRDefault="00B67AED"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75175EC">
              <wp:simplePos x="0" y="0"/>
              <wp:positionH relativeFrom="margin">
                <wp:posOffset>558165</wp:posOffset>
              </wp:positionH>
              <wp:positionV relativeFrom="paragraph">
                <wp:posOffset>10160</wp:posOffset>
              </wp:positionV>
              <wp:extent cx="4400550" cy="4667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440055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DCE40" w14:textId="77777777" w:rsidR="00B67AED" w:rsidRPr="005D32DD" w:rsidRDefault="00B67AED" w:rsidP="00B67AED">
                          <w:pPr>
                            <w:jc w:val="center"/>
                            <w:rPr>
                              <w:rFonts w:ascii="Verdana" w:hAnsi="Verdana" w:cs="Arial"/>
                              <w:sz w:val="22"/>
                              <w:szCs w:val="22"/>
                            </w:rPr>
                          </w:pPr>
                          <w:r w:rsidRPr="005D32DD">
                            <w:rPr>
                              <w:rFonts w:ascii="Verdana" w:hAnsi="Verdana" w:cs="Arial"/>
                              <w:b/>
                              <w:color w:val="2E74B5"/>
                              <w:sz w:val="22"/>
                              <w:szCs w:val="22"/>
                            </w:rPr>
                            <w:t>INSTRUCTIVO REVISIÓN DE PAGOS - SERVICIOS DE VIGILANCIA Y SEGURIDAD PRIVADA</w:t>
                          </w:r>
                        </w:p>
                        <w:p w14:paraId="7F1FEAC5" w14:textId="2E03B685"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3.95pt;margin-top:.8pt;width:346.5pt;height:3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" fillcolor="white [3201]" stroked="f" strokeweight=".5pt">
              <v:textbox>
                <w:txbxContent>
                  <w:p w14:paraId="5F7DCE40" w14:textId="77777777" w:rsidR="00B67AED" w:rsidRPr="005D32DD" w:rsidRDefault="00B67AED" w:rsidP="00B67AED">
                    <w:pPr>
                      <w:jc w:val="center"/>
                      <w:rPr>
                        <w:rFonts w:ascii="Verdana" w:hAnsi="Verdana" w:cs="Arial"/>
                        <w:sz w:val="22"/>
                        <w:szCs w:val="22"/>
                      </w:rPr>
                    </w:pPr>
                    <w:r w:rsidRPr="005D32DD">
                      <w:rPr>
                        <w:rFonts w:ascii="Verdana" w:hAnsi="Verdana" w:cs="Arial"/>
                        <w:b/>
                        <w:color w:val="2E74B5"/>
                        <w:sz w:val="22"/>
                        <w:szCs w:val="22"/>
                      </w:rPr>
                      <w:t>INSTRUCTIVO REVISIÓN DE PAGOS - SERVICIOS DE VIGILANCIA Y SEGURIDAD PRIVADA</w:t>
                    </w:r>
                  </w:p>
                  <w:p w14:paraId="7F1FEAC5" w14:textId="2E03B685"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43EA"/>
    <w:multiLevelType w:val="hybridMultilevel"/>
    <w:tmpl w:val="749862B6"/>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AB394D"/>
    <w:multiLevelType w:val="hybridMultilevel"/>
    <w:tmpl w:val="176E230E"/>
    <w:lvl w:ilvl="0" w:tplc="A6CE961A">
      <w:start w:val="6"/>
      <w:numFmt w:val="bullet"/>
      <w:lvlText w:val="-"/>
      <w:lvlJc w:val="left"/>
      <w:pPr>
        <w:ind w:left="1080" w:hanging="360"/>
      </w:pPr>
      <w:rPr>
        <w:rFonts w:ascii="Bookman Old Style" w:eastAsia="Times New Roman" w:hAnsi="Bookman Old Style"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FEA0F7C"/>
    <w:multiLevelType w:val="hybridMultilevel"/>
    <w:tmpl w:val="171CDE76"/>
    <w:lvl w:ilvl="0" w:tplc="A6CE961A">
      <w:start w:val="6"/>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306517"/>
    <w:multiLevelType w:val="multilevel"/>
    <w:tmpl w:val="33EE798A"/>
    <w:lvl w:ilvl="0">
      <w:start w:val="1"/>
      <w:numFmt w:val="decimal"/>
      <w:lvlText w:val="%1."/>
      <w:lvlJc w:val="left"/>
      <w:pPr>
        <w:ind w:left="720" w:hanging="360"/>
      </w:pPr>
      <w:rPr>
        <w:b/>
        <w:bCs/>
      </w:rPr>
    </w:lvl>
    <w:lvl w:ilvl="1">
      <w:start w:val="3"/>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72C56"/>
    <w:multiLevelType w:val="hybridMultilevel"/>
    <w:tmpl w:val="5BD80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9046B2"/>
    <w:multiLevelType w:val="hybridMultilevel"/>
    <w:tmpl w:val="F948D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AC5B1F"/>
    <w:multiLevelType w:val="hybridMultilevel"/>
    <w:tmpl w:val="13ECB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4" w15:restartNumberingAfterBreak="0">
    <w:nsid w:val="54741D39"/>
    <w:multiLevelType w:val="hybridMultilevel"/>
    <w:tmpl w:val="EE04D618"/>
    <w:lvl w:ilvl="0" w:tplc="A6CE961A">
      <w:start w:val="6"/>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F91A40"/>
    <w:multiLevelType w:val="multilevel"/>
    <w:tmpl w:val="467C5F2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ascii="Verdana" w:hAnsi="Verdana" w:cs="Arial" w:hint="default"/>
        <w:b/>
        <w:b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6F2109A"/>
    <w:multiLevelType w:val="hybridMultilevel"/>
    <w:tmpl w:val="382A1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13584097">
    <w:abstractNumId w:val="16"/>
  </w:num>
  <w:num w:numId="2" w16cid:durableId="34737404">
    <w:abstractNumId w:val="2"/>
  </w:num>
  <w:num w:numId="3" w16cid:durableId="1546599633">
    <w:abstractNumId w:val="1"/>
  </w:num>
  <w:num w:numId="4" w16cid:durableId="780883704">
    <w:abstractNumId w:val="13"/>
  </w:num>
  <w:num w:numId="5" w16cid:durableId="944269352">
    <w:abstractNumId w:val="8"/>
  </w:num>
  <w:num w:numId="6" w16cid:durableId="87695492">
    <w:abstractNumId w:val="3"/>
  </w:num>
  <w:num w:numId="7" w16cid:durableId="427896296">
    <w:abstractNumId w:val="6"/>
  </w:num>
  <w:num w:numId="8" w16cid:durableId="2075884318">
    <w:abstractNumId w:val="12"/>
  </w:num>
  <w:num w:numId="9" w16cid:durableId="1840467122">
    <w:abstractNumId w:val="0"/>
  </w:num>
  <w:num w:numId="10" w16cid:durableId="964383835">
    <w:abstractNumId w:val="7"/>
  </w:num>
  <w:num w:numId="11" w16cid:durableId="1943608911">
    <w:abstractNumId w:val="15"/>
  </w:num>
  <w:num w:numId="12" w16cid:durableId="1379740386">
    <w:abstractNumId w:val="11"/>
  </w:num>
  <w:num w:numId="13" w16cid:durableId="1014111888">
    <w:abstractNumId w:val="14"/>
  </w:num>
  <w:num w:numId="14" w16cid:durableId="1946768290">
    <w:abstractNumId w:val="9"/>
  </w:num>
  <w:num w:numId="15" w16cid:durableId="1291940984">
    <w:abstractNumId w:val="17"/>
  </w:num>
  <w:num w:numId="16" w16cid:durableId="1724981089">
    <w:abstractNumId w:val="10"/>
  </w:num>
  <w:num w:numId="17" w16cid:durableId="50274515">
    <w:abstractNumId w:val="5"/>
  </w:num>
  <w:num w:numId="18" w16cid:durableId="118235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00A59"/>
    <w:rsid w:val="00115C16"/>
    <w:rsid w:val="001359AE"/>
    <w:rsid w:val="00137E8A"/>
    <w:rsid w:val="001D7CFC"/>
    <w:rsid w:val="001F1E8E"/>
    <w:rsid w:val="00206974"/>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911DD"/>
    <w:rsid w:val="004A7B69"/>
    <w:rsid w:val="004C6193"/>
    <w:rsid w:val="00502E6B"/>
    <w:rsid w:val="005352B6"/>
    <w:rsid w:val="00544409"/>
    <w:rsid w:val="00546768"/>
    <w:rsid w:val="00553562"/>
    <w:rsid w:val="005664AF"/>
    <w:rsid w:val="00584FDA"/>
    <w:rsid w:val="005A4964"/>
    <w:rsid w:val="005D32DD"/>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15F2"/>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52D22"/>
    <w:rsid w:val="00B663D7"/>
    <w:rsid w:val="00B67AED"/>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7AED"/>
    <w:pPr>
      <w:keepNext/>
      <w:keepLines/>
      <w:spacing w:before="240"/>
      <w:outlineLvl w:val="0"/>
    </w:pPr>
    <w:rPr>
      <w:rFonts w:asciiTheme="majorHAnsi" w:eastAsiaTheme="majorEastAsia" w:hAnsiTheme="majorHAnsi" w:cstheme="majorBidi"/>
      <w:color w:val="2F5496" w:themeColor="accent1" w:themeShade="BF"/>
      <w:sz w:val="32"/>
      <w:szCs w:val="32"/>
      <w:lang w:eastAsia="es-ES"/>
    </w:rPr>
  </w:style>
  <w:style w:type="paragraph" w:styleId="Ttulo2">
    <w:name w:val="heading 2"/>
    <w:basedOn w:val="Normal"/>
    <w:next w:val="Normal"/>
    <w:link w:val="Ttulo2Car"/>
    <w:uiPriority w:val="9"/>
    <w:unhideWhenUsed/>
    <w:qFormat/>
    <w:rsid w:val="00B67AED"/>
    <w:pPr>
      <w:keepNext/>
      <w:keepLines/>
      <w:spacing w:before="40"/>
      <w:outlineLvl w:val="1"/>
    </w:pPr>
    <w:rPr>
      <w:rFonts w:asciiTheme="majorHAnsi" w:eastAsiaTheme="majorEastAsia" w:hAnsiTheme="majorHAnsi" w:cstheme="majorBidi"/>
      <w:color w:val="2F5496" w:themeColor="accent1" w:themeShade="BF"/>
      <w:sz w:val="26"/>
      <w:szCs w:val="26"/>
      <w:lang w:eastAsia="es-ES"/>
    </w:rPr>
  </w:style>
  <w:style w:type="paragraph" w:styleId="Ttulo3">
    <w:name w:val="heading 3"/>
    <w:basedOn w:val="Normal"/>
    <w:next w:val="Normal"/>
    <w:link w:val="Ttulo3Car"/>
    <w:uiPriority w:val="9"/>
    <w:unhideWhenUsed/>
    <w:qFormat/>
    <w:rsid w:val="00B67AED"/>
    <w:pPr>
      <w:keepNext/>
      <w:keepLines/>
      <w:spacing w:before="40"/>
      <w:outlineLvl w:val="2"/>
    </w:pPr>
    <w:rPr>
      <w:rFonts w:asciiTheme="majorHAnsi" w:eastAsiaTheme="majorEastAsia" w:hAnsiTheme="majorHAnsi" w:cstheme="majorBidi"/>
      <w:color w:val="1F3763" w:themeColor="accent1" w:themeShade="7F"/>
      <w:lang w:eastAsia="es-ES"/>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B67AED"/>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B67AED"/>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B67AED"/>
    <w:rPr>
      <w:rFonts w:asciiTheme="majorHAnsi" w:eastAsiaTheme="majorEastAsia" w:hAnsiTheme="majorHAnsi" w:cstheme="majorBidi"/>
      <w:color w:val="1F3763" w:themeColor="accent1" w:themeShade="7F"/>
      <w:lang w:eastAsia="es-ES"/>
    </w:rPr>
  </w:style>
  <w:style w:type="table" w:styleId="Tablaconcuadrcula">
    <w:name w:val="Table Grid"/>
    <w:basedOn w:val="Tablanormal"/>
    <w:uiPriority w:val="59"/>
    <w:rsid w:val="00B67A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B67AED"/>
    <w:pPr>
      <w:spacing w:after="100"/>
    </w:pPr>
    <w:rPr>
      <w:rFonts w:ascii="Times New Roman" w:eastAsia="Times New Roman" w:hAnsi="Times New Roman" w:cs="Times New Roman"/>
      <w:lang w:eastAsia="es-ES"/>
    </w:rPr>
  </w:style>
  <w:style w:type="paragraph" w:styleId="TDC2">
    <w:name w:val="toc 2"/>
    <w:basedOn w:val="Normal"/>
    <w:next w:val="Normal"/>
    <w:autoRedefine/>
    <w:uiPriority w:val="39"/>
    <w:unhideWhenUsed/>
    <w:rsid w:val="00B67AED"/>
    <w:pPr>
      <w:spacing w:after="100"/>
      <w:ind w:left="240"/>
    </w:pPr>
    <w:rPr>
      <w:rFonts w:ascii="Times New Roman" w:eastAsia="Times New Roman" w:hAnsi="Times New Roman" w:cs="Times New Roman"/>
      <w:lang w:eastAsia="es-ES"/>
    </w:rPr>
  </w:style>
  <w:style w:type="paragraph" w:styleId="TDC3">
    <w:name w:val="toc 3"/>
    <w:basedOn w:val="Normal"/>
    <w:next w:val="Normal"/>
    <w:autoRedefine/>
    <w:uiPriority w:val="39"/>
    <w:unhideWhenUsed/>
    <w:rsid w:val="00B67AED"/>
    <w:pPr>
      <w:spacing w:after="100"/>
      <w:ind w:left="480"/>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B67AED"/>
    <w:rPr>
      <w:color w:val="0563C1" w:themeColor="hyperlink"/>
      <w:u w:val="single"/>
    </w:rPr>
  </w:style>
  <w:style w:type="paragraph" w:styleId="Descripcin">
    <w:name w:val="caption"/>
    <w:basedOn w:val="Normal"/>
    <w:next w:val="Normal"/>
    <w:uiPriority w:val="35"/>
    <w:unhideWhenUsed/>
    <w:qFormat/>
    <w:rsid w:val="00B67AED"/>
    <w:pPr>
      <w:spacing w:after="200"/>
    </w:pPr>
    <w:rPr>
      <w:rFonts w:ascii="Times New Roman" w:eastAsia="Times New Roman" w:hAnsi="Times New Roman" w:cs="Times New Roman"/>
      <w:i/>
      <w:iCs/>
      <w:color w:val="44546A" w:themeColor="text2"/>
      <w:sz w:val="18"/>
      <w:szCs w:val="18"/>
      <w:lang w:eastAsia="es-ES"/>
    </w:rPr>
  </w:style>
  <w:style w:type="paragraph" w:styleId="Tabladeilustraciones">
    <w:name w:val="table of figures"/>
    <w:basedOn w:val="Normal"/>
    <w:next w:val="Normal"/>
    <w:uiPriority w:val="99"/>
    <w:unhideWhenUsed/>
    <w:rsid w:val="00B67AED"/>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iteve.supervigilancia.gov.co/suiteve/doc/searchers?soa=1&amp;mdl=doc&amp;_sveVrs=0&amp;link=1&amp;isViewSavedSearch=true&amp;_start=true&amp;__ssid=38667&amp;float=t&amp;&amp;redirectToSearch=1&amp;clazz=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iteve.supervigilancia.gov.co/suiteve/doc/searchers?soa=1&amp;mdl=doc&amp;_sveVrs=0&amp;link=1&amp;isViewSavedSearch=true&amp;_start=true&amp;__ssid=38667&amp;float=t&amp;&amp;redirectToSearch=1&amp;clazz=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6F20-386C-4AE8-B27E-6D9222B3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3109</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2024-09-24T15:20:00Z</dcterms:created>
  <dcterms:modified xsi:type="dcterms:W3CDTF">2024-10-04T22:39:00Z</dcterms:modified>
</cp:coreProperties>
</file>