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2B8AA" w14:textId="77777777" w:rsidR="00CF5B32" w:rsidRPr="00B108CF" w:rsidRDefault="00CF5B32" w:rsidP="00CF5B32">
      <w:pPr>
        <w:pStyle w:val="Default"/>
        <w:numPr>
          <w:ilvl w:val="0"/>
          <w:numId w:val="9"/>
        </w:numPr>
        <w:rPr>
          <w:rFonts w:ascii="Verdana" w:hAnsi="Verdana"/>
          <w:b/>
          <w:color w:val="auto"/>
          <w:sz w:val="22"/>
          <w:szCs w:val="22"/>
          <w:lang w:val="es-CO" w:eastAsia="es-CO"/>
        </w:rPr>
      </w:pPr>
      <w:r w:rsidRPr="00B108CF">
        <w:rPr>
          <w:rFonts w:ascii="Verdana" w:hAnsi="Verdana"/>
          <w:b/>
          <w:color w:val="auto"/>
          <w:sz w:val="22"/>
          <w:szCs w:val="22"/>
          <w:lang w:val="es-CO" w:eastAsia="es-CO"/>
        </w:rPr>
        <w:t>INFORMACION GENERAL</w:t>
      </w:r>
    </w:p>
    <w:p w14:paraId="380306BC" w14:textId="77777777" w:rsidR="00CF5B32" w:rsidRPr="00B108CF" w:rsidRDefault="00CF5B32" w:rsidP="00CF5B32">
      <w:pPr>
        <w:rPr>
          <w:rFonts w:ascii="Verdana" w:hAnsi="Verdana"/>
          <w:b/>
          <w:bC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CF5B32" w:rsidRPr="00B108CF" w14:paraId="2CBD79D4" w14:textId="77777777" w:rsidTr="00DE4F85">
        <w:tc>
          <w:tcPr>
            <w:tcW w:w="2660" w:type="dxa"/>
            <w:shd w:val="clear" w:color="auto" w:fill="auto"/>
          </w:tcPr>
          <w:p w14:paraId="67261DE1" w14:textId="77777777" w:rsidR="00CF5B32" w:rsidRPr="00B108CF" w:rsidRDefault="00CF5B32" w:rsidP="00DE4F85">
            <w:pPr>
              <w:pStyle w:val="NormalWeb"/>
              <w:rPr>
                <w:rFonts w:ascii="Verdana" w:hAnsi="Verdana" w:cs="Arial"/>
                <w:b/>
                <w:sz w:val="22"/>
                <w:szCs w:val="22"/>
                <w:lang w:eastAsia="ar-SA"/>
              </w:rPr>
            </w:pPr>
            <w:r w:rsidRPr="00B108CF">
              <w:rPr>
                <w:rFonts w:ascii="Verdana" w:hAnsi="Verdana" w:cs="Arial"/>
                <w:b/>
                <w:sz w:val="22"/>
                <w:szCs w:val="22"/>
                <w:lang w:eastAsia="ar-SA"/>
              </w:rPr>
              <w:t>OBJETIVO</w:t>
            </w:r>
          </w:p>
        </w:tc>
        <w:tc>
          <w:tcPr>
            <w:tcW w:w="6662" w:type="dxa"/>
            <w:shd w:val="clear" w:color="auto" w:fill="auto"/>
          </w:tcPr>
          <w:p w14:paraId="3C553ACC" w14:textId="77777777" w:rsidR="00CF5B32" w:rsidRPr="00B108CF" w:rsidRDefault="00CF5B32" w:rsidP="00DE4F85">
            <w:pPr>
              <w:pStyle w:val="NormalWeb"/>
              <w:jc w:val="both"/>
              <w:rPr>
                <w:rFonts w:ascii="Verdana" w:hAnsi="Verdana" w:cs="Arial"/>
                <w:sz w:val="22"/>
                <w:szCs w:val="22"/>
                <w:lang w:eastAsia="ar-SA"/>
              </w:rPr>
            </w:pPr>
            <w:r w:rsidRPr="00B108CF">
              <w:rPr>
                <w:rFonts w:ascii="Verdana" w:hAnsi="Verdana"/>
                <w:sz w:val="22"/>
                <w:szCs w:val="22"/>
              </w:rPr>
              <w:t>El objetivo de este Protocolo es establecer medidas de autorregulación y autocontrol, mediante un procedimiento estandarizado que contribuya a la prevención de delitos por posibles fraudes electrónicos y que logren ser evitados por el personal encargado de la custodia y manejo de los recursos.</w:t>
            </w:r>
          </w:p>
        </w:tc>
      </w:tr>
      <w:tr w:rsidR="00CF5B32" w:rsidRPr="00B108CF" w14:paraId="3E2A4E58" w14:textId="77777777" w:rsidTr="00DE4F85">
        <w:tc>
          <w:tcPr>
            <w:tcW w:w="2660" w:type="dxa"/>
            <w:shd w:val="clear" w:color="auto" w:fill="auto"/>
          </w:tcPr>
          <w:p w14:paraId="7BF78C0F" w14:textId="77777777" w:rsidR="00CF5B32" w:rsidRPr="00B108CF" w:rsidRDefault="00CF5B32" w:rsidP="00DE4F85">
            <w:pPr>
              <w:pStyle w:val="NormalWeb"/>
              <w:rPr>
                <w:rFonts w:ascii="Verdana" w:hAnsi="Verdana" w:cs="Arial"/>
                <w:b/>
                <w:sz w:val="22"/>
                <w:szCs w:val="22"/>
                <w:lang w:eastAsia="ar-SA"/>
              </w:rPr>
            </w:pPr>
            <w:r w:rsidRPr="00B108CF">
              <w:rPr>
                <w:rFonts w:ascii="Verdana" w:hAnsi="Verdana" w:cs="Arial"/>
                <w:b/>
                <w:sz w:val="22"/>
                <w:szCs w:val="22"/>
                <w:lang w:eastAsia="ar-SA"/>
              </w:rPr>
              <w:t xml:space="preserve">ALCANCE </w:t>
            </w:r>
          </w:p>
        </w:tc>
        <w:tc>
          <w:tcPr>
            <w:tcW w:w="6662" w:type="dxa"/>
            <w:shd w:val="clear" w:color="auto" w:fill="auto"/>
          </w:tcPr>
          <w:p w14:paraId="62C517AE" w14:textId="77777777" w:rsidR="00CF5B32" w:rsidRPr="00B108CF" w:rsidRDefault="00CF5B32" w:rsidP="00DE4F85">
            <w:pPr>
              <w:pStyle w:val="NormalWeb"/>
              <w:jc w:val="both"/>
              <w:rPr>
                <w:rFonts w:ascii="Verdana" w:hAnsi="Verdana" w:cs="Arial"/>
                <w:sz w:val="22"/>
                <w:szCs w:val="22"/>
                <w:lang w:eastAsia="ar-SA"/>
              </w:rPr>
            </w:pPr>
            <w:r w:rsidRPr="00B108CF">
              <w:rPr>
                <w:rFonts w:ascii="Verdana" w:hAnsi="Verdana"/>
                <w:sz w:val="22"/>
                <w:szCs w:val="22"/>
              </w:rPr>
              <w:t xml:space="preserve">El presente protocolo está enfocado a mantener la plena vigilancia de los recursos de renta propia de la entidad y velar por su correcto manejo y destino. </w:t>
            </w:r>
          </w:p>
        </w:tc>
      </w:tr>
      <w:tr w:rsidR="00CF5B32" w:rsidRPr="00B108CF" w14:paraId="290C1CF7" w14:textId="77777777" w:rsidTr="00DE4F85">
        <w:tc>
          <w:tcPr>
            <w:tcW w:w="2660" w:type="dxa"/>
            <w:shd w:val="clear" w:color="auto" w:fill="auto"/>
          </w:tcPr>
          <w:p w14:paraId="780C6187" w14:textId="77777777" w:rsidR="00CF5B32" w:rsidRPr="00B108CF" w:rsidRDefault="00CF5B32" w:rsidP="00DE4F85">
            <w:pPr>
              <w:pStyle w:val="NormalWeb"/>
              <w:rPr>
                <w:rFonts w:ascii="Verdana" w:hAnsi="Verdana" w:cs="Arial"/>
                <w:b/>
                <w:sz w:val="22"/>
                <w:szCs w:val="22"/>
                <w:lang w:eastAsia="ar-SA"/>
              </w:rPr>
            </w:pPr>
            <w:r w:rsidRPr="00B108CF">
              <w:rPr>
                <w:rFonts w:ascii="Verdana" w:hAnsi="Verdana" w:cs="Arial"/>
                <w:b/>
                <w:sz w:val="22"/>
                <w:szCs w:val="22"/>
                <w:lang w:eastAsia="ar-SA"/>
              </w:rPr>
              <w:t>RESPONSABLES</w:t>
            </w:r>
          </w:p>
        </w:tc>
        <w:tc>
          <w:tcPr>
            <w:tcW w:w="6662" w:type="dxa"/>
            <w:shd w:val="clear" w:color="auto" w:fill="auto"/>
          </w:tcPr>
          <w:p w14:paraId="0E0676E6" w14:textId="5DB971A4" w:rsidR="00CF5B32" w:rsidRPr="00B108CF" w:rsidRDefault="00B108CF" w:rsidP="00DE4F85">
            <w:pPr>
              <w:pStyle w:val="NormalWeb"/>
              <w:jc w:val="both"/>
              <w:rPr>
                <w:rFonts w:ascii="Verdana" w:hAnsi="Verdana"/>
                <w:sz w:val="22"/>
                <w:szCs w:val="22"/>
              </w:rPr>
            </w:pPr>
            <w:r>
              <w:rPr>
                <w:rFonts w:ascii="Verdana" w:hAnsi="Verdana"/>
                <w:sz w:val="22"/>
                <w:szCs w:val="22"/>
              </w:rPr>
              <w:t>Grupo de Recursos F</w:t>
            </w:r>
            <w:r w:rsidR="00CF5B32" w:rsidRPr="00B108CF">
              <w:rPr>
                <w:rFonts w:ascii="Verdana" w:hAnsi="Verdana"/>
                <w:sz w:val="22"/>
                <w:szCs w:val="22"/>
              </w:rPr>
              <w:t>inancieros</w:t>
            </w:r>
          </w:p>
        </w:tc>
      </w:tr>
      <w:tr w:rsidR="00CF5B32" w:rsidRPr="00B108CF" w14:paraId="1F038C71" w14:textId="77777777" w:rsidTr="00DE4F85">
        <w:tc>
          <w:tcPr>
            <w:tcW w:w="2660" w:type="dxa"/>
            <w:shd w:val="clear" w:color="auto" w:fill="auto"/>
          </w:tcPr>
          <w:p w14:paraId="50BFE72D" w14:textId="77777777" w:rsidR="00CF5B32" w:rsidRPr="00B108CF" w:rsidRDefault="00CF5B32" w:rsidP="00DE4F85">
            <w:pPr>
              <w:pStyle w:val="NormalWeb"/>
              <w:rPr>
                <w:rFonts w:ascii="Verdana" w:hAnsi="Verdana" w:cs="Arial"/>
                <w:b/>
                <w:sz w:val="22"/>
                <w:szCs w:val="22"/>
                <w:lang w:eastAsia="ar-SA"/>
              </w:rPr>
            </w:pPr>
            <w:r w:rsidRPr="00B108CF">
              <w:rPr>
                <w:rFonts w:ascii="Verdana" w:hAnsi="Verdana" w:cs="Arial"/>
                <w:b/>
                <w:sz w:val="22"/>
                <w:szCs w:val="22"/>
                <w:lang w:eastAsia="ar-SA"/>
              </w:rPr>
              <w:t xml:space="preserve">                                                         INICIONES</w:t>
            </w:r>
          </w:p>
        </w:tc>
        <w:tc>
          <w:tcPr>
            <w:tcW w:w="6662" w:type="dxa"/>
            <w:shd w:val="clear" w:color="auto" w:fill="auto"/>
          </w:tcPr>
          <w:p w14:paraId="6D149312" w14:textId="77777777" w:rsidR="00CF5B32" w:rsidRPr="00B108CF" w:rsidRDefault="00CF5B32" w:rsidP="00DE4F85">
            <w:pPr>
              <w:jc w:val="both"/>
              <w:rPr>
                <w:rFonts w:ascii="Verdana" w:eastAsia="Times New Roman" w:hAnsi="Verdana"/>
                <w:sz w:val="22"/>
                <w:szCs w:val="22"/>
                <w:lang w:val="es-ES" w:eastAsia="es-ES"/>
              </w:rPr>
            </w:pPr>
            <w:r w:rsidRPr="00B108CF">
              <w:rPr>
                <w:rFonts w:ascii="Verdana" w:eastAsia="Times New Roman" w:hAnsi="Verdana"/>
                <w:b/>
                <w:bCs/>
                <w:sz w:val="22"/>
                <w:szCs w:val="22"/>
                <w:lang w:val="es-ES" w:eastAsia="es-ES"/>
              </w:rPr>
              <w:t>Fraude informático (fraude electrónico:</w:t>
            </w:r>
            <w:r w:rsidRPr="00B108CF">
              <w:rPr>
                <w:rFonts w:ascii="Verdana" w:eastAsia="Times New Roman" w:hAnsi="Verdana"/>
                <w:sz w:val="22"/>
                <w:szCs w:val="22"/>
                <w:lang w:val="es-ES" w:eastAsia="es-ES"/>
              </w:rPr>
              <w:t xml:space="preserve"> Es la intención de procurar u obtener un beneficio patrimonial para sí o para un tercero, donde se influya en el procesamiento o el resultado de los datos de un sistema de cómputo, mediante programación, empleo de datos falsos o incompletos, uso indebido de datos o cualquier otra acción, que incida en el proceso de los datos del sistema. </w:t>
            </w:r>
          </w:p>
          <w:p w14:paraId="495AFEB1" w14:textId="77777777" w:rsidR="00CF5B32" w:rsidRPr="00B108CF" w:rsidRDefault="00CF5B32" w:rsidP="00DE4F85">
            <w:pPr>
              <w:rPr>
                <w:rFonts w:ascii="Verdana" w:eastAsia="Times New Roman" w:hAnsi="Verdana"/>
                <w:sz w:val="22"/>
                <w:szCs w:val="22"/>
                <w:lang w:val="es-ES" w:eastAsia="es-ES"/>
              </w:rPr>
            </w:pPr>
          </w:p>
          <w:p w14:paraId="42E9AE88" w14:textId="77777777" w:rsidR="00CF5B32" w:rsidRPr="00B108CF" w:rsidRDefault="00CF5B32" w:rsidP="00DE4F85">
            <w:pPr>
              <w:jc w:val="both"/>
              <w:rPr>
                <w:rFonts w:ascii="Verdana" w:eastAsia="Times New Roman" w:hAnsi="Verdana"/>
                <w:sz w:val="22"/>
                <w:szCs w:val="22"/>
                <w:lang w:val="es-ES" w:eastAsia="es-ES"/>
              </w:rPr>
            </w:pPr>
            <w:r w:rsidRPr="00B108CF">
              <w:rPr>
                <w:rFonts w:ascii="Verdana" w:eastAsia="Times New Roman" w:hAnsi="Verdana"/>
                <w:b/>
                <w:bCs/>
                <w:sz w:val="22"/>
                <w:szCs w:val="22"/>
                <w:lang w:val="es-ES" w:eastAsia="es-ES"/>
              </w:rPr>
              <w:t>Phishing:</w:t>
            </w:r>
            <w:r w:rsidRPr="00B108CF">
              <w:rPr>
                <w:rFonts w:ascii="Verdana" w:eastAsia="Times New Roman" w:hAnsi="Verdana"/>
                <w:sz w:val="22"/>
                <w:szCs w:val="22"/>
                <w:lang w:val="es-ES" w:eastAsia="es-ES"/>
              </w:rPr>
              <w:t xml:space="preserve"> Fraude tradicionalmente cometido a través de internet, que pretende conseguir datos confidenciales de usuarios, tales como identificación o claves de acceso a cuentas de diversos sistemas. Para lograr este objetivo, generalmente se realizan envíos masivos de correos electrónicos (email), que simulan provenir de entidades de confianza, advirtiéndole a la víctima que, por "motivos de seguridad" o con el fin de "confirmar su cuenta", entre otros, debe suministrar sus datos personales, claves u otra información confidencial, para lo cual se utiliza un sitio web fraudulento y se requiere a la víctima a que haga “click” en un enlace (link) incluido en el mensaje. Posteriormente, con esta información confidencial, los delincuentes realizan transferencias a cuentas de terceros y retiran el dinero.</w:t>
            </w:r>
          </w:p>
          <w:p w14:paraId="19D97645" w14:textId="77777777" w:rsidR="00CF5B32" w:rsidRPr="00B108CF" w:rsidRDefault="00CF5B32" w:rsidP="00DE4F85">
            <w:pPr>
              <w:jc w:val="both"/>
              <w:rPr>
                <w:rFonts w:ascii="Verdana" w:eastAsia="Times New Roman" w:hAnsi="Verdana"/>
                <w:sz w:val="22"/>
                <w:szCs w:val="22"/>
                <w:lang w:eastAsia="es-ES"/>
              </w:rPr>
            </w:pPr>
          </w:p>
          <w:p w14:paraId="469AE6E5" w14:textId="77777777" w:rsidR="00CF5B32" w:rsidRPr="00B108CF" w:rsidRDefault="00CF5B32" w:rsidP="00DE4F85">
            <w:pPr>
              <w:jc w:val="both"/>
              <w:rPr>
                <w:rFonts w:ascii="Verdana" w:eastAsia="Times New Roman" w:hAnsi="Verdana"/>
                <w:sz w:val="22"/>
                <w:szCs w:val="22"/>
                <w:lang w:eastAsia="es-ES"/>
              </w:rPr>
            </w:pPr>
            <w:r w:rsidRPr="00B108CF">
              <w:rPr>
                <w:rFonts w:ascii="Verdana" w:eastAsia="Times New Roman" w:hAnsi="Verdana"/>
                <w:b/>
                <w:bCs/>
                <w:sz w:val="22"/>
                <w:szCs w:val="22"/>
                <w:lang w:eastAsia="es-ES"/>
              </w:rPr>
              <w:t>Pharming:</w:t>
            </w:r>
            <w:r w:rsidRPr="00B108CF">
              <w:rPr>
                <w:rFonts w:ascii="Verdana" w:eastAsia="Times New Roman" w:hAnsi="Verdana"/>
                <w:sz w:val="22"/>
                <w:szCs w:val="22"/>
                <w:lang w:eastAsia="es-ES"/>
              </w:rPr>
              <w:t xml:space="preserve"> Modalidad de estafa online (en línea) mediante la manipulación de los servidores para redireccionar el nombre de un dominio, visitado habitualmente por el usuario, a una p</w:t>
            </w:r>
            <w:r w:rsidRPr="00B108CF">
              <w:rPr>
                <w:rFonts w:ascii="Verdana" w:eastAsia="Times New Roman" w:hAnsi="Verdana" w:cs="Bookman Old Style"/>
                <w:sz w:val="22"/>
                <w:szCs w:val="22"/>
                <w:lang w:eastAsia="es-ES"/>
              </w:rPr>
              <w:t>á</w:t>
            </w:r>
            <w:r w:rsidRPr="00B108CF">
              <w:rPr>
                <w:rFonts w:ascii="Verdana" w:eastAsia="Times New Roman" w:hAnsi="Verdana"/>
                <w:sz w:val="22"/>
                <w:szCs w:val="22"/>
                <w:lang w:eastAsia="es-ES"/>
              </w:rPr>
              <w:t>gina web id</w:t>
            </w:r>
            <w:r w:rsidRPr="00B108CF">
              <w:rPr>
                <w:rFonts w:ascii="Verdana" w:eastAsia="Times New Roman" w:hAnsi="Verdana" w:cs="Bookman Old Style"/>
                <w:sz w:val="22"/>
                <w:szCs w:val="22"/>
                <w:lang w:eastAsia="es-ES"/>
              </w:rPr>
              <w:t>é</w:t>
            </w:r>
            <w:r w:rsidRPr="00B108CF">
              <w:rPr>
                <w:rFonts w:ascii="Verdana" w:eastAsia="Times New Roman" w:hAnsi="Verdana"/>
                <w:sz w:val="22"/>
                <w:szCs w:val="22"/>
                <w:lang w:eastAsia="es-ES"/>
              </w:rPr>
              <w:t>ntica a la original, que ha sido creada para obtener datos confidenciales de usuarios como identificación o claves de acceso a cuentas de diversos sistemas.</w:t>
            </w:r>
          </w:p>
          <w:p w14:paraId="3F98B103" w14:textId="77777777" w:rsidR="00CF5B32" w:rsidRPr="00B108CF" w:rsidRDefault="00CF5B32" w:rsidP="00DE4F85">
            <w:pPr>
              <w:jc w:val="both"/>
              <w:rPr>
                <w:rFonts w:ascii="Verdana" w:eastAsia="Times New Roman" w:hAnsi="Verdana"/>
                <w:sz w:val="22"/>
                <w:szCs w:val="22"/>
                <w:lang w:val="es-ES" w:eastAsia="es-ES"/>
              </w:rPr>
            </w:pPr>
          </w:p>
          <w:p w14:paraId="5FCBA76A" w14:textId="77777777" w:rsidR="00CF5B32" w:rsidRPr="00B108CF" w:rsidRDefault="00CF5B32" w:rsidP="00DE4F85">
            <w:pPr>
              <w:jc w:val="both"/>
              <w:rPr>
                <w:rFonts w:ascii="Verdana" w:eastAsia="Times New Roman" w:hAnsi="Verdana"/>
                <w:sz w:val="22"/>
                <w:szCs w:val="22"/>
                <w:lang w:val="es-ES" w:eastAsia="es-ES"/>
              </w:rPr>
            </w:pPr>
            <w:r w:rsidRPr="00B108CF">
              <w:rPr>
                <w:rFonts w:ascii="Verdana" w:eastAsia="Times New Roman" w:hAnsi="Verdana"/>
                <w:b/>
                <w:bCs/>
                <w:sz w:val="22"/>
                <w:szCs w:val="22"/>
                <w:lang w:val="es-ES" w:eastAsia="es-ES"/>
              </w:rPr>
              <w:t>OTP (One time password):</w:t>
            </w:r>
            <w:r w:rsidRPr="00B108CF">
              <w:rPr>
                <w:rFonts w:ascii="Verdana" w:eastAsia="Times New Roman" w:hAnsi="Verdana"/>
                <w:sz w:val="22"/>
                <w:szCs w:val="22"/>
                <w:lang w:val="es-ES" w:eastAsia="es-ES"/>
              </w:rPr>
              <w:t xml:space="preserve"> tecnología que permite generar una clave para uso en una única oportunidad, como por ejemplo toquen (virtuales o físicos), tarjetas de claves dinámicas, entre otros.</w:t>
            </w:r>
          </w:p>
          <w:p w14:paraId="22E279DB" w14:textId="77777777" w:rsidR="00CF5B32" w:rsidRPr="00B108CF" w:rsidRDefault="00CF5B32" w:rsidP="00DE4F85">
            <w:pPr>
              <w:jc w:val="both"/>
              <w:rPr>
                <w:rFonts w:ascii="Verdana" w:eastAsia="Times New Roman" w:hAnsi="Verdana"/>
                <w:sz w:val="22"/>
                <w:szCs w:val="22"/>
                <w:lang w:val="es-ES" w:eastAsia="es-ES"/>
              </w:rPr>
            </w:pPr>
          </w:p>
          <w:p w14:paraId="6569930F" w14:textId="77777777" w:rsidR="00CF5B32" w:rsidRPr="00B108CF" w:rsidRDefault="00CF5B32" w:rsidP="00DE4F85">
            <w:pPr>
              <w:jc w:val="both"/>
              <w:rPr>
                <w:rFonts w:ascii="Verdana" w:eastAsia="Times New Roman" w:hAnsi="Verdana"/>
                <w:sz w:val="22"/>
                <w:szCs w:val="22"/>
                <w:lang w:eastAsia="es-ES"/>
              </w:rPr>
            </w:pPr>
            <w:r w:rsidRPr="00B108CF">
              <w:rPr>
                <w:rFonts w:ascii="Verdana" w:eastAsia="Times New Roman" w:hAnsi="Verdana"/>
                <w:b/>
                <w:bCs/>
                <w:sz w:val="22"/>
                <w:szCs w:val="22"/>
                <w:lang w:eastAsia="es-ES"/>
              </w:rPr>
              <w:t>Phreaking:</w:t>
            </w:r>
            <w:r w:rsidRPr="00B108CF">
              <w:rPr>
                <w:rFonts w:ascii="Verdana" w:eastAsia="Times New Roman" w:hAnsi="Verdana"/>
                <w:sz w:val="22"/>
                <w:szCs w:val="22"/>
                <w:lang w:eastAsia="es-ES"/>
              </w:rPr>
              <w:t xml:space="preserve"> Hacking orientado a la telefonía y estrechamente vinculado con la electrónica aplicada a los sistemas telefónicos.</w:t>
            </w:r>
          </w:p>
          <w:p w14:paraId="1E3B91C0" w14:textId="77777777" w:rsidR="00CF5B32" w:rsidRPr="00B108CF" w:rsidRDefault="00CF5B32" w:rsidP="00DE4F85">
            <w:pPr>
              <w:jc w:val="both"/>
              <w:rPr>
                <w:rFonts w:ascii="Verdana" w:eastAsia="Times New Roman" w:hAnsi="Verdana"/>
                <w:sz w:val="22"/>
                <w:szCs w:val="22"/>
                <w:lang w:eastAsia="es-ES"/>
              </w:rPr>
            </w:pPr>
          </w:p>
          <w:p w14:paraId="6E532A6B" w14:textId="77777777" w:rsidR="00CF5B32" w:rsidRPr="00B108CF" w:rsidRDefault="00CF5B32" w:rsidP="00DE4F85">
            <w:pPr>
              <w:jc w:val="both"/>
              <w:rPr>
                <w:rFonts w:ascii="Verdana" w:eastAsia="Times New Roman" w:hAnsi="Verdana"/>
                <w:sz w:val="22"/>
                <w:szCs w:val="22"/>
                <w:lang w:eastAsia="es-ES"/>
              </w:rPr>
            </w:pPr>
            <w:r w:rsidRPr="00B108CF">
              <w:rPr>
                <w:rFonts w:ascii="Verdana" w:eastAsia="Times New Roman" w:hAnsi="Verdana"/>
                <w:b/>
                <w:bCs/>
                <w:sz w:val="22"/>
                <w:szCs w:val="22"/>
                <w:lang w:eastAsia="es-ES"/>
              </w:rPr>
              <w:t>Vishing:</w:t>
            </w:r>
            <w:r w:rsidRPr="00B108CF">
              <w:rPr>
                <w:rFonts w:ascii="Verdana" w:eastAsia="Times New Roman" w:hAnsi="Verdana"/>
                <w:sz w:val="22"/>
                <w:szCs w:val="22"/>
                <w:lang w:eastAsia="es-ES"/>
              </w:rPr>
              <w:t xml:space="preserve"> Es una variante del phishing, pero por teléfono. Consiste en el envío de un correo electrónico en el cual los </w:t>
            </w:r>
            <w:r w:rsidRPr="00B108CF">
              <w:rPr>
                <w:rFonts w:ascii="Verdana" w:eastAsia="Times New Roman" w:hAnsi="Verdana"/>
                <w:sz w:val="22"/>
                <w:szCs w:val="22"/>
                <w:lang w:eastAsia="es-ES"/>
              </w:rPr>
              <w:lastRenderedPageBreak/>
              <w:t>delincuentes consiguen detalles de datos bancarios mediante un número telefónico gratuito, en la cual una voz computadorizada de aspecto profesional requiere de las víctimas la confirmación de su cuenta bancaria, solicitándoles el número de cuenta, claves y otros datos confidenciales.</w:t>
            </w:r>
          </w:p>
          <w:p w14:paraId="078F4981" w14:textId="77777777" w:rsidR="00CF5B32" w:rsidRPr="00B108CF" w:rsidRDefault="00CF5B32" w:rsidP="00DE4F85">
            <w:pPr>
              <w:pStyle w:val="NormalWeb"/>
              <w:jc w:val="both"/>
              <w:rPr>
                <w:rFonts w:ascii="Verdana" w:hAnsi="Verdana"/>
                <w:sz w:val="22"/>
                <w:szCs w:val="22"/>
              </w:rPr>
            </w:pPr>
            <w:r w:rsidRPr="00B108CF">
              <w:rPr>
                <w:rFonts w:ascii="Verdana" w:hAnsi="Verdana"/>
                <w:sz w:val="22"/>
                <w:szCs w:val="22"/>
              </w:rPr>
              <w:t xml:space="preserve"> </w:t>
            </w:r>
          </w:p>
        </w:tc>
      </w:tr>
      <w:tr w:rsidR="00CF5B32" w:rsidRPr="00B108CF" w14:paraId="766F2A6F" w14:textId="77777777" w:rsidTr="00DE4F85">
        <w:trPr>
          <w:trHeight w:val="2367"/>
        </w:trPr>
        <w:tc>
          <w:tcPr>
            <w:tcW w:w="2660" w:type="dxa"/>
            <w:shd w:val="clear" w:color="auto" w:fill="auto"/>
          </w:tcPr>
          <w:p w14:paraId="662F95D4" w14:textId="77777777" w:rsidR="00CF5B32" w:rsidRPr="00B108CF" w:rsidRDefault="00CF5B32" w:rsidP="00DE4F85">
            <w:pPr>
              <w:pStyle w:val="NormalWeb"/>
              <w:rPr>
                <w:rFonts w:ascii="Verdana" w:hAnsi="Verdana" w:cs="Arial"/>
                <w:b/>
                <w:bCs/>
                <w:sz w:val="22"/>
                <w:szCs w:val="22"/>
                <w:lang w:eastAsia="ar-SA"/>
              </w:rPr>
            </w:pPr>
            <w:r w:rsidRPr="00B108CF">
              <w:rPr>
                <w:rFonts w:ascii="Verdana" w:hAnsi="Verdana" w:cs="Arial"/>
                <w:b/>
                <w:bCs/>
                <w:sz w:val="22"/>
                <w:szCs w:val="22"/>
                <w:lang w:eastAsia="ar-SA"/>
              </w:rPr>
              <w:lastRenderedPageBreak/>
              <w:t>NORMATIVIDAD</w:t>
            </w:r>
          </w:p>
        </w:tc>
        <w:tc>
          <w:tcPr>
            <w:tcW w:w="6662" w:type="dxa"/>
            <w:shd w:val="clear" w:color="auto" w:fill="auto"/>
          </w:tcPr>
          <w:p w14:paraId="4A93CA7F" w14:textId="77777777" w:rsidR="00CF5B32" w:rsidRPr="00B108CF" w:rsidRDefault="00CF5B32" w:rsidP="00DE4F85">
            <w:pPr>
              <w:rPr>
                <w:rFonts w:ascii="Verdana" w:eastAsia="Times New Roman" w:hAnsi="Verdana"/>
                <w:sz w:val="22"/>
                <w:szCs w:val="22"/>
                <w:lang w:eastAsia="es-ES"/>
              </w:rPr>
            </w:pPr>
            <w:r w:rsidRPr="00B108CF">
              <w:rPr>
                <w:rFonts w:ascii="Verdana" w:eastAsia="Times New Roman" w:hAnsi="Verdana"/>
                <w:sz w:val="22"/>
                <w:szCs w:val="22"/>
                <w:lang w:eastAsia="es-ES"/>
              </w:rPr>
              <w:t>Ley 1266 de 2008 “Por lo cual se dictan las disposiciones generales del habeas data y se regula el manejo de la información”.</w:t>
            </w:r>
          </w:p>
          <w:p w14:paraId="22CC33DE" w14:textId="77777777" w:rsidR="00CF5B32" w:rsidRPr="00B108CF" w:rsidRDefault="00CF5B32" w:rsidP="00DE4F85">
            <w:pPr>
              <w:pStyle w:val="NormalWeb"/>
              <w:jc w:val="both"/>
              <w:rPr>
                <w:rFonts w:ascii="Verdana" w:hAnsi="Verdana"/>
                <w:sz w:val="22"/>
                <w:szCs w:val="22"/>
              </w:rPr>
            </w:pPr>
            <w:r w:rsidRPr="00B108CF">
              <w:rPr>
                <w:rFonts w:ascii="Verdana" w:hAnsi="Verdana"/>
                <w:sz w:val="22"/>
                <w:szCs w:val="22"/>
              </w:rPr>
              <w:t>Ley 1273 de 2009 “Protección de la Información y de los Datos”.</w:t>
            </w:r>
          </w:p>
          <w:p w14:paraId="0EEE9B4D" w14:textId="77777777" w:rsidR="00CF5B32" w:rsidRPr="00B108CF" w:rsidRDefault="00CF5B32" w:rsidP="00DE4F85">
            <w:pPr>
              <w:pStyle w:val="NormalWeb"/>
              <w:jc w:val="both"/>
              <w:rPr>
                <w:rFonts w:ascii="Verdana" w:hAnsi="Verdana"/>
                <w:sz w:val="22"/>
                <w:szCs w:val="22"/>
              </w:rPr>
            </w:pPr>
            <w:r w:rsidRPr="00B108CF">
              <w:rPr>
                <w:rFonts w:ascii="Verdana" w:hAnsi="Verdana"/>
                <w:sz w:val="22"/>
                <w:szCs w:val="22"/>
              </w:rPr>
              <w:t>Documento CONPES 3701 de julio del 2011 “Lineamientos de política para ciberseguridad y ciberdefensa”.</w:t>
            </w:r>
          </w:p>
          <w:p w14:paraId="72C88FAB" w14:textId="77777777" w:rsidR="00CF5B32" w:rsidRPr="00B108CF" w:rsidRDefault="00CF5B32" w:rsidP="00DE4F85">
            <w:pPr>
              <w:pStyle w:val="NormalWeb"/>
              <w:jc w:val="both"/>
              <w:rPr>
                <w:rFonts w:ascii="Verdana" w:hAnsi="Verdana"/>
                <w:sz w:val="22"/>
                <w:szCs w:val="22"/>
              </w:rPr>
            </w:pPr>
            <w:r w:rsidRPr="00B108CF">
              <w:rPr>
                <w:rFonts w:ascii="Verdana" w:hAnsi="Verdana"/>
                <w:sz w:val="22"/>
                <w:szCs w:val="22"/>
              </w:rPr>
              <w:t>Ley 1581 de 2012 “Por la cual se dictan disposiciones generales para la protección de datos personales” y su decreto reglamentario 1377 del 27 de junio de 2013.</w:t>
            </w:r>
          </w:p>
          <w:p w14:paraId="133C83E4" w14:textId="77777777" w:rsidR="00CF5B32" w:rsidRPr="00B108CF" w:rsidRDefault="00CF5B32" w:rsidP="00DE4F85">
            <w:pPr>
              <w:pStyle w:val="NormalWeb"/>
              <w:jc w:val="both"/>
              <w:rPr>
                <w:rFonts w:ascii="Verdana" w:hAnsi="Verdana"/>
                <w:sz w:val="22"/>
                <w:szCs w:val="22"/>
              </w:rPr>
            </w:pPr>
            <w:r w:rsidRPr="00B108CF">
              <w:rPr>
                <w:rFonts w:ascii="Verdana" w:hAnsi="Verdana"/>
                <w:sz w:val="22"/>
                <w:szCs w:val="22"/>
              </w:rPr>
              <w:t>Manual para la implementación de la Estrategia de Gobierno en Línea en las entidades del orden nacional de la Republica de Colombia.</w:t>
            </w:r>
          </w:p>
          <w:p w14:paraId="139C838B" w14:textId="77777777" w:rsidR="00CF5B32" w:rsidRPr="00B108CF" w:rsidRDefault="00CF5B32" w:rsidP="00DE4F85">
            <w:pPr>
              <w:pStyle w:val="NormalWeb"/>
              <w:jc w:val="both"/>
              <w:rPr>
                <w:rFonts w:ascii="Verdana" w:hAnsi="Verdana"/>
                <w:sz w:val="22"/>
                <w:szCs w:val="22"/>
              </w:rPr>
            </w:pPr>
            <w:r w:rsidRPr="00B108CF">
              <w:rPr>
                <w:rFonts w:ascii="Verdana" w:hAnsi="Verdana"/>
                <w:sz w:val="22"/>
                <w:szCs w:val="22"/>
              </w:rPr>
              <w:t>Resolución No. 03049 del 24 de agosto de 2012, por la cual se adopta el Manual del Sistema de Gestión de Seguridad de la Información.</w:t>
            </w:r>
          </w:p>
        </w:tc>
      </w:tr>
    </w:tbl>
    <w:p w14:paraId="21BBD458" w14:textId="77777777" w:rsidR="00CF5B32" w:rsidRPr="00B108CF" w:rsidRDefault="00CF5B32" w:rsidP="00CF5B32">
      <w:pPr>
        <w:pStyle w:val="Ttulo3"/>
        <w:keepLines w:val="0"/>
        <w:numPr>
          <w:ilvl w:val="0"/>
          <w:numId w:val="16"/>
        </w:numPr>
        <w:spacing w:before="240" w:after="60"/>
        <w:rPr>
          <w:rFonts w:ascii="Verdana" w:hAnsi="Verdana"/>
          <w:bCs/>
          <w:sz w:val="22"/>
          <w:szCs w:val="22"/>
        </w:rPr>
      </w:pPr>
      <w:bookmarkStart w:id="0" w:name="_Toc514921036"/>
      <w:r w:rsidRPr="00B108CF">
        <w:rPr>
          <w:rFonts w:ascii="Verdana" w:hAnsi="Verdana"/>
          <w:sz w:val="22"/>
          <w:szCs w:val="22"/>
        </w:rPr>
        <w:t>CRITERIOS DE SEGURIDAD Y CALIDAD DE LA INFORMACIÓN</w:t>
      </w:r>
      <w:bookmarkEnd w:id="0"/>
    </w:p>
    <w:p w14:paraId="3DCDFCB9" w14:textId="77777777" w:rsidR="00CF5B32" w:rsidRPr="00B108CF" w:rsidRDefault="00CF5B32" w:rsidP="00CF5B32">
      <w:pPr>
        <w:autoSpaceDE w:val="0"/>
        <w:adjustRightInd w:val="0"/>
        <w:ind w:left="720"/>
        <w:contextualSpacing/>
        <w:jc w:val="both"/>
        <w:rPr>
          <w:rFonts w:ascii="Verdana" w:hAnsi="Verdana" w:cs="Arial"/>
          <w:b/>
          <w:bCs/>
          <w:sz w:val="22"/>
          <w:szCs w:val="22"/>
        </w:rPr>
      </w:pPr>
    </w:p>
    <w:p w14:paraId="22652D5C" w14:textId="77777777" w:rsidR="00CF5B32" w:rsidRPr="00B108CF" w:rsidRDefault="00CF5B32" w:rsidP="00CF5B32">
      <w:pPr>
        <w:pStyle w:val="Ttulo7"/>
        <w:keepLines w:val="0"/>
        <w:numPr>
          <w:ilvl w:val="1"/>
          <w:numId w:val="16"/>
        </w:numPr>
        <w:spacing w:before="0"/>
        <w:jc w:val="both"/>
        <w:rPr>
          <w:rFonts w:ascii="Verdana" w:hAnsi="Verdana"/>
          <w:b/>
          <w:sz w:val="22"/>
          <w:szCs w:val="22"/>
        </w:rPr>
      </w:pPr>
      <w:r w:rsidRPr="00B108CF">
        <w:rPr>
          <w:rFonts w:ascii="Verdana" w:hAnsi="Verdana"/>
          <w:b/>
          <w:sz w:val="22"/>
          <w:szCs w:val="22"/>
        </w:rPr>
        <w:t>Criterios de seguridad de la información</w:t>
      </w:r>
    </w:p>
    <w:p w14:paraId="1E89E855" w14:textId="77777777" w:rsidR="00CF5B32" w:rsidRPr="00B108CF" w:rsidRDefault="00CF5B32" w:rsidP="00CF5B32">
      <w:pPr>
        <w:autoSpaceDE w:val="0"/>
        <w:adjustRightInd w:val="0"/>
        <w:jc w:val="both"/>
        <w:rPr>
          <w:rFonts w:ascii="Verdana" w:hAnsi="Verdana" w:cs="Arial"/>
          <w:b/>
          <w:bCs/>
          <w:sz w:val="22"/>
          <w:szCs w:val="22"/>
        </w:rPr>
      </w:pPr>
    </w:p>
    <w:p w14:paraId="2BA2CA6A" w14:textId="77777777" w:rsidR="00CF5B32" w:rsidRPr="00B108CF" w:rsidRDefault="00CF5B32" w:rsidP="00CF5B32">
      <w:pPr>
        <w:numPr>
          <w:ilvl w:val="0"/>
          <w:numId w:val="12"/>
        </w:numPr>
        <w:autoSpaceDE w:val="0"/>
        <w:autoSpaceDN w:val="0"/>
        <w:adjustRightInd w:val="0"/>
        <w:jc w:val="both"/>
        <w:rPr>
          <w:rFonts w:ascii="Verdana" w:hAnsi="Verdana" w:cs="Arial"/>
          <w:sz w:val="22"/>
          <w:szCs w:val="22"/>
        </w:rPr>
      </w:pPr>
      <w:r w:rsidRPr="00B108CF">
        <w:rPr>
          <w:rFonts w:ascii="Verdana" w:hAnsi="Verdana" w:cs="Arial"/>
          <w:iCs/>
          <w:sz w:val="22"/>
          <w:szCs w:val="22"/>
        </w:rPr>
        <w:t>Confidencialidad</w:t>
      </w:r>
      <w:r w:rsidRPr="00B108CF">
        <w:rPr>
          <w:rFonts w:ascii="Verdana" w:hAnsi="Verdana" w:cs="Arial"/>
          <w:i/>
          <w:iCs/>
          <w:sz w:val="22"/>
          <w:szCs w:val="22"/>
        </w:rPr>
        <w:t xml:space="preserve">: </w:t>
      </w:r>
      <w:r w:rsidRPr="00B108CF">
        <w:rPr>
          <w:rFonts w:ascii="Verdana" w:hAnsi="Verdana" w:cs="Arial"/>
          <w:sz w:val="22"/>
          <w:szCs w:val="22"/>
        </w:rPr>
        <w:t>Hace referencia a la protección de información cuya divulgación no está autorizada.</w:t>
      </w:r>
    </w:p>
    <w:p w14:paraId="1F3C0D91" w14:textId="77777777" w:rsidR="00CF5B32" w:rsidRPr="00B108CF" w:rsidRDefault="00CF5B32" w:rsidP="00CF5B32">
      <w:pPr>
        <w:autoSpaceDE w:val="0"/>
        <w:adjustRightInd w:val="0"/>
        <w:jc w:val="both"/>
        <w:rPr>
          <w:rFonts w:ascii="Verdana" w:hAnsi="Verdana" w:cs="Arial"/>
          <w:sz w:val="22"/>
          <w:szCs w:val="22"/>
        </w:rPr>
      </w:pPr>
    </w:p>
    <w:p w14:paraId="5DE12AF9" w14:textId="77777777" w:rsidR="00CF5B32" w:rsidRPr="00B108CF" w:rsidRDefault="00CF5B32" w:rsidP="00CF5B32">
      <w:pPr>
        <w:numPr>
          <w:ilvl w:val="0"/>
          <w:numId w:val="12"/>
        </w:numPr>
        <w:autoSpaceDE w:val="0"/>
        <w:autoSpaceDN w:val="0"/>
        <w:adjustRightInd w:val="0"/>
        <w:jc w:val="both"/>
        <w:rPr>
          <w:rFonts w:ascii="Verdana" w:hAnsi="Verdana" w:cs="Arial"/>
          <w:sz w:val="22"/>
          <w:szCs w:val="22"/>
        </w:rPr>
      </w:pPr>
      <w:r w:rsidRPr="00B108CF">
        <w:rPr>
          <w:rFonts w:ascii="Verdana" w:hAnsi="Verdana" w:cs="Arial"/>
          <w:iCs/>
          <w:sz w:val="22"/>
          <w:szCs w:val="22"/>
        </w:rPr>
        <w:t>Integridad:</w:t>
      </w:r>
      <w:r w:rsidRPr="00B108CF">
        <w:rPr>
          <w:rFonts w:ascii="Verdana" w:hAnsi="Verdana" w:cs="Arial"/>
          <w:i/>
          <w:iCs/>
          <w:sz w:val="22"/>
          <w:szCs w:val="22"/>
        </w:rPr>
        <w:t xml:space="preserve"> </w:t>
      </w:r>
      <w:r w:rsidRPr="00B108CF">
        <w:rPr>
          <w:rFonts w:ascii="Verdana" w:hAnsi="Verdana" w:cs="Arial"/>
          <w:sz w:val="22"/>
          <w:szCs w:val="22"/>
        </w:rPr>
        <w:t>La información debe ser precisa, coherente y completa desde su creación hasta su destrucción.</w:t>
      </w:r>
    </w:p>
    <w:p w14:paraId="223A6E3F" w14:textId="77777777" w:rsidR="00CF5B32" w:rsidRPr="00B108CF" w:rsidRDefault="00CF5B32" w:rsidP="00CF5B32">
      <w:pPr>
        <w:autoSpaceDE w:val="0"/>
        <w:adjustRightInd w:val="0"/>
        <w:jc w:val="both"/>
        <w:rPr>
          <w:rFonts w:ascii="Verdana" w:hAnsi="Verdana" w:cs="Arial"/>
          <w:sz w:val="22"/>
          <w:szCs w:val="22"/>
        </w:rPr>
      </w:pPr>
    </w:p>
    <w:p w14:paraId="36A42DEB" w14:textId="77777777" w:rsidR="00CF5B32" w:rsidRPr="00B108CF" w:rsidRDefault="00CF5B32" w:rsidP="00CF5B32">
      <w:pPr>
        <w:numPr>
          <w:ilvl w:val="0"/>
          <w:numId w:val="12"/>
        </w:numPr>
        <w:autoSpaceDE w:val="0"/>
        <w:autoSpaceDN w:val="0"/>
        <w:adjustRightInd w:val="0"/>
        <w:jc w:val="both"/>
        <w:rPr>
          <w:rFonts w:ascii="Verdana" w:hAnsi="Verdana" w:cs="Arial"/>
          <w:sz w:val="22"/>
          <w:szCs w:val="22"/>
        </w:rPr>
      </w:pPr>
      <w:r w:rsidRPr="00B108CF">
        <w:rPr>
          <w:rFonts w:ascii="Verdana" w:hAnsi="Verdana" w:cs="Arial"/>
          <w:sz w:val="22"/>
          <w:szCs w:val="22"/>
        </w:rPr>
        <w:t>Disponibilidad: La información debe estar en el momento y en el formato que se requiera ahora y en el futuro, al igual que los recursos necesarios para su uso.</w:t>
      </w:r>
    </w:p>
    <w:p w14:paraId="538271B4" w14:textId="77777777" w:rsidR="00CF5B32" w:rsidRPr="00B108CF" w:rsidRDefault="00CF5B32" w:rsidP="00CF5B32">
      <w:pPr>
        <w:autoSpaceDE w:val="0"/>
        <w:adjustRightInd w:val="0"/>
        <w:jc w:val="both"/>
        <w:rPr>
          <w:rFonts w:ascii="Verdana" w:hAnsi="Verdana" w:cs="Arial"/>
          <w:sz w:val="22"/>
          <w:szCs w:val="22"/>
        </w:rPr>
      </w:pPr>
    </w:p>
    <w:p w14:paraId="4E50DE5B" w14:textId="77777777" w:rsidR="00CF5B32" w:rsidRPr="00B108CF" w:rsidRDefault="00CF5B32" w:rsidP="00CF5B32">
      <w:pPr>
        <w:pStyle w:val="Ttulo7"/>
        <w:keepLines w:val="0"/>
        <w:numPr>
          <w:ilvl w:val="1"/>
          <w:numId w:val="16"/>
        </w:numPr>
        <w:spacing w:before="0"/>
        <w:jc w:val="both"/>
        <w:rPr>
          <w:rFonts w:ascii="Verdana" w:hAnsi="Verdana" w:cs="Arial"/>
          <w:b/>
          <w:bCs/>
          <w:sz w:val="22"/>
          <w:szCs w:val="22"/>
        </w:rPr>
      </w:pPr>
      <w:r w:rsidRPr="00B108CF">
        <w:rPr>
          <w:rFonts w:ascii="Verdana" w:hAnsi="Verdana"/>
          <w:b/>
          <w:sz w:val="22"/>
          <w:szCs w:val="22"/>
        </w:rPr>
        <w:t>Criterios de calidad de la información.</w:t>
      </w:r>
    </w:p>
    <w:p w14:paraId="0F6F2C58" w14:textId="77777777" w:rsidR="00CF5B32" w:rsidRPr="00B108CF" w:rsidRDefault="00CF5B32" w:rsidP="00CF5B32">
      <w:pPr>
        <w:autoSpaceDE w:val="0"/>
        <w:adjustRightInd w:val="0"/>
        <w:jc w:val="both"/>
        <w:rPr>
          <w:rFonts w:ascii="Verdana" w:hAnsi="Verdana" w:cs="Arial"/>
          <w:b/>
          <w:bCs/>
          <w:sz w:val="22"/>
          <w:szCs w:val="22"/>
        </w:rPr>
      </w:pPr>
    </w:p>
    <w:p w14:paraId="3704D2EF" w14:textId="77777777" w:rsidR="00CF5B32" w:rsidRPr="00B108CF" w:rsidRDefault="00CF5B32" w:rsidP="00CF5B32">
      <w:pPr>
        <w:numPr>
          <w:ilvl w:val="0"/>
          <w:numId w:val="11"/>
        </w:numPr>
        <w:autoSpaceDE w:val="0"/>
        <w:autoSpaceDN w:val="0"/>
        <w:adjustRightInd w:val="0"/>
        <w:jc w:val="both"/>
        <w:rPr>
          <w:rFonts w:ascii="Verdana" w:hAnsi="Verdana" w:cs="Arial"/>
          <w:sz w:val="22"/>
          <w:szCs w:val="22"/>
        </w:rPr>
      </w:pPr>
      <w:r w:rsidRPr="00B108CF">
        <w:rPr>
          <w:rFonts w:ascii="Verdana" w:hAnsi="Verdana" w:cs="Arial"/>
          <w:iCs/>
          <w:sz w:val="22"/>
          <w:szCs w:val="22"/>
        </w:rPr>
        <w:t>Efectividad</w:t>
      </w:r>
      <w:r w:rsidRPr="00B108CF">
        <w:rPr>
          <w:rFonts w:ascii="Verdana" w:hAnsi="Verdana" w:cs="Arial"/>
          <w:i/>
          <w:iCs/>
          <w:sz w:val="22"/>
          <w:szCs w:val="22"/>
        </w:rPr>
        <w:t xml:space="preserve">: </w:t>
      </w:r>
      <w:r w:rsidRPr="00B108CF">
        <w:rPr>
          <w:rFonts w:ascii="Verdana" w:hAnsi="Verdana" w:cs="Arial"/>
          <w:sz w:val="22"/>
          <w:szCs w:val="22"/>
        </w:rPr>
        <w:t>La información relevante debe ser pertinente y su entrega oportuna, correcta y consistente.</w:t>
      </w:r>
    </w:p>
    <w:p w14:paraId="4F1CDFAF" w14:textId="77777777" w:rsidR="00CF5B32" w:rsidRPr="00B108CF" w:rsidRDefault="00CF5B32" w:rsidP="00CF5B32">
      <w:pPr>
        <w:autoSpaceDE w:val="0"/>
        <w:adjustRightInd w:val="0"/>
        <w:jc w:val="both"/>
        <w:rPr>
          <w:rFonts w:ascii="Verdana" w:hAnsi="Verdana" w:cs="Arial"/>
          <w:sz w:val="22"/>
          <w:szCs w:val="22"/>
        </w:rPr>
      </w:pPr>
    </w:p>
    <w:p w14:paraId="21BE13A5" w14:textId="77777777" w:rsidR="00CF5B32" w:rsidRPr="00B108CF" w:rsidRDefault="00CF5B32" w:rsidP="00CF5B32">
      <w:pPr>
        <w:numPr>
          <w:ilvl w:val="0"/>
          <w:numId w:val="11"/>
        </w:numPr>
        <w:autoSpaceDE w:val="0"/>
        <w:autoSpaceDN w:val="0"/>
        <w:adjustRightInd w:val="0"/>
        <w:jc w:val="both"/>
        <w:rPr>
          <w:rFonts w:ascii="Verdana" w:hAnsi="Verdana" w:cs="Arial"/>
          <w:sz w:val="22"/>
          <w:szCs w:val="22"/>
        </w:rPr>
      </w:pPr>
      <w:r w:rsidRPr="00B108CF">
        <w:rPr>
          <w:rFonts w:ascii="Verdana" w:hAnsi="Verdana" w:cs="Arial"/>
          <w:iCs/>
          <w:sz w:val="22"/>
          <w:szCs w:val="22"/>
        </w:rPr>
        <w:t>Eficiencia</w:t>
      </w:r>
      <w:r w:rsidRPr="00B108CF">
        <w:rPr>
          <w:rFonts w:ascii="Verdana" w:hAnsi="Verdana" w:cs="Arial"/>
          <w:i/>
          <w:iCs/>
          <w:sz w:val="22"/>
          <w:szCs w:val="22"/>
        </w:rPr>
        <w:t xml:space="preserve">: </w:t>
      </w:r>
      <w:r w:rsidRPr="00B108CF">
        <w:rPr>
          <w:rFonts w:ascii="Verdana" w:hAnsi="Verdana" w:cs="Arial"/>
          <w:sz w:val="22"/>
          <w:szCs w:val="22"/>
        </w:rPr>
        <w:t>El procesamiento y suministro de información debe hacerse utilizando de la mejor manera posible los recursos.</w:t>
      </w:r>
    </w:p>
    <w:p w14:paraId="140456F8" w14:textId="77777777" w:rsidR="00CF5B32" w:rsidRPr="00B108CF" w:rsidRDefault="00CF5B32" w:rsidP="00CF5B32">
      <w:pPr>
        <w:autoSpaceDE w:val="0"/>
        <w:adjustRightInd w:val="0"/>
        <w:jc w:val="both"/>
        <w:rPr>
          <w:rFonts w:ascii="Verdana" w:hAnsi="Verdana" w:cs="Arial"/>
          <w:sz w:val="22"/>
          <w:szCs w:val="22"/>
        </w:rPr>
      </w:pPr>
    </w:p>
    <w:p w14:paraId="05891A26" w14:textId="77777777" w:rsidR="00CF5B32" w:rsidRPr="00B108CF" w:rsidRDefault="00CF5B32" w:rsidP="00CF5B32">
      <w:pPr>
        <w:numPr>
          <w:ilvl w:val="0"/>
          <w:numId w:val="11"/>
        </w:numPr>
        <w:autoSpaceDE w:val="0"/>
        <w:autoSpaceDN w:val="0"/>
        <w:adjustRightInd w:val="0"/>
        <w:jc w:val="both"/>
        <w:rPr>
          <w:rFonts w:ascii="Verdana" w:hAnsi="Verdana" w:cs="Arial"/>
          <w:sz w:val="22"/>
          <w:szCs w:val="22"/>
        </w:rPr>
      </w:pPr>
      <w:r w:rsidRPr="00B108CF">
        <w:rPr>
          <w:rFonts w:ascii="Verdana" w:hAnsi="Verdana" w:cs="Arial"/>
          <w:iCs/>
          <w:sz w:val="22"/>
          <w:szCs w:val="22"/>
        </w:rPr>
        <w:t>Confiabilidad</w:t>
      </w:r>
      <w:r w:rsidRPr="00B108CF">
        <w:rPr>
          <w:rFonts w:ascii="Verdana" w:hAnsi="Verdana" w:cs="Arial"/>
          <w:i/>
          <w:iCs/>
          <w:sz w:val="22"/>
          <w:szCs w:val="22"/>
        </w:rPr>
        <w:t xml:space="preserve">: </w:t>
      </w:r>
      <w:r w:rsidRPr="00B108CF">
        <w:rPr>
          <w:rFonts w:ascii="Verdana" w:hAnsi="Verdana" w:cs="Arial"/>
          <w:sz w:val="22"/>
          <w:szCs w:val="22"/>
        </w:rPr>
        <w:t>La información debe ser apropiada para la administración de la entidad y el cumplimiento de sus obligaciones.</w:t>
      </w:r>
      <w:bookmarkStart w:id="1" w:name="_GoBack"/>
      <w:bookmarkEnd w:id="1"/>
    </w:p>
    <w:p w14:paraId="77BCE42A" w14:textId="77777777" w:rsidR="00CF5B32" w:rsidRPr="00B108CF" w:rsidRDefault="00CF5B32" w:rsidP="00CF5B32">
      <w:pPr>
        <w:pStyle w:val="Ttulo3"/>
        <w:keepLines w:val="0"/>
        <w:numPr>
          <w:ilvl w:val="0"/>
          <w:numId w:val="16"/>
        </w:numPr>
        <w:spacing w:before="240" w:after="60"/>
        <w:rPr>
          <w:rFonts w:ascii="Verdana" w:hAnsi="Verdana"/>
          <w:bCs/>
          <w:sz w:val="22"/>
          <w:szCs w:val="22"/>
        </w:rPr>
      </w:pPr>
      <w:bookmarkStart w:id="2" w:name="_Toc514921037"/>
      <w:r w:rsidRPr="00B108CF">
        <w:rPr>
          <w:rFonts w:ascii="Verdana" w:hAnsi="Verdana"/>
          <w:sz w:val="22"/>
          <w:szCs w:val="22"/>
        </w:rPr>
        <w:t>SEGURIDAD Y CALIDAD</w:t>
      </w:r>
      <w:bookmarkEnd w:id="2"/>
    </w:p>
    <w:p w14:paraId="248A2096" w14:textId="77777777" w:rsidR="00CF5B32" w:rsidRPr="00B108CF" w:rsidRDefault="00CF5B32" w:rsidP="00CF5B32">
      <w:pPr>
        <w:autoSpaceDE w:val="0"/>
        <w:adjustRightInd w:val="0"/>
        <w:ind w:left="720"/>
        <w:contextualSpacing/>
        <w:jc w:val="both"/>
        <w:rPr>
          <w:rFonts w:ascii="Verdana" w:hAnsi="Verdana" w:cs="Arial"/>
          <w:b/>
          <w:bCs/>
          <w:sz w:val="22"/>
          <w:szCs w:val="22"/>
        </w:rPr>
      </w:pPr>
    </w:p>
    <w:p w14:paraId="6210E1BF" w14:textId="77777777" w:rsidR="00CF5B32" w:rsidRPr="00B108CF" w:rsidRDefault="00CF5B32" w:rsidP="00CF5B32">
      <w:pPr>
        <w:autoSpaceDE w:val="0"/>
        <w:adjustRightInd w:val="0"/>
        <w:jc w:val="both"/>
        <w:rPr>
          <w:rFonts w:ascii="Verdana" w:hAnsi="Verdana" w:cs="Arial"/>
          <w:sz w:val="22"/>
          <w:szCs w:val="22"/>
        </w:rPr>
      </w:pPr>
      <w:r w:rsidRPr="00B108CF">
        <w:rPr>
          <w:rFonts w:ascii="Verdana" w:hAnsi="Verdana" w:cs="Arial"/>
          <w:sz w:val="22"/>
          <w:szCs w:val="22"/>
        </w:rPr>
        <w:t xml:space="preserve">En el desarrollo de los criterios de seguridad y calidad, la entidad deberá tomar en cuenta todas las herramientas necesarias desde el punto de vista de hardware, software y equipos de telecomunicaciones, que permitan prevenir, detectar y corregir situaciones de riesgo que comprometan directamente, la información </w:t>
      </w:r>
      <w:r w:rsidRPr="00B108CF">
        <w:rPr>
          <w:rFonts w:ascii="Verdana" w:hAnsi="Verdana" w:cs="Arial"/>
          <w:sz w:val="22"/>
          <w:szCs w:val="22"/>
        </w:rPr>
        <w:lastRenderedPageBreak/>
        <w:t>bancaria y la información de los proveedores, contratistas y demás personas jurídicas o naturales, vinculadas directa o indirectamente con la Supervigilancia.</w:t>
      </w:r>
    </w:p>
    <w:p w14:paraId="3CB152A0" w14:textId="77777777" w:rsidR="00CF5B32" w:rsidRPr="00B108CF" w:rsidRDefault="00CF5B32" w:rsidP="00CF5B32">
      <w:pPr>
        <w:autoSpaceDE w:val="0"/>
        <w:adjustRightInd w:val="0"/>
        <w:jc w:val="both"/>
        <w:rPr>
          <w:rFonts w:ascii="Verdana" w:hAnsi="Verdana" w:cs="Arial"/>
          <w:sz w:val="22"/>
          <w:szCs w:val="22"/>
        </w:rPr>
      </w:pPr>
    </w:p>
    <w:p w14:paraId="79BB8FB9" w14:textId="77777777" w:rsidR="00CF5B32" w:rsidRPr="00B108CF" w:rsidRDefault="00CF5B32" w:rsidP="00CF5B32">
      <w:pPr>
        <w:autoSpaceDE w:val="0"/>
        <w:adjustRightInd w:val="0"/>
        <w:jc w:val="both"/>
        <w:rPr>
          <w:rFonts w:ascii="Verdana" w:hAnsi="Verdana" w:cs="Arial"/>
          <w:sz w:val="22"/>
          <w:szCs w:val="22"/>
        </w:rPr>
      </w:pPr>
      <w:r w:rsidRPr="00B108CF">
        <w:rPr>
          <w:rFonts w:ascii="Verdana" w:hAnsi="Verdana" w:cs="Arial"/>
          <w:sz w:val="22"/>
          <w:szCs w:val="22"/>
        </w:rPr>
        <w:t>Otras medidas de seguridad que podrá implementar la entidad a través de su personal encargado:</w:t>
      </w:r>
    </w:p>
    <w:p w14:paraId="2B85B6FA" w14:textId="77777777" w:rsidR="00CF5B32" w:rsidRPr="00B108CF" w:rsidRDefault="00CF5B32" w:rsidP="00CF5B32">
      <w:pPr>
        <w:autoSpaceDE w:val="0"/>
        <w:adjustRightInd w:val="0"/>
        <w:jc w:val="both"/>
        <w:rPr>
          <w:rFonts w:ascii="Verdana" w:hAnsi="Verdana" w:cs="Arial"/>
          <w:sz w:val="22"/>
          <w:szCs w:val="22"/>
        </w:rPr>
      </w:pPr>
    </w:p>
    <w:p w14:paraId="43C95795" w14:textId="77777777" w:rsidR="00CF5B32" w:rsidRPr="00B108CF" w:rsidRDefault="00CF5B32" w:rsidP="00CF5B32">
      <w:pPr>
        <w:numPr>
          <w:ilvl w:val="0"/>
          <w:numId w:val="14"/>
        </w:numPr>
        <w:autoSpaceDE w:val="0"/>
        <w:autoSpaceDN w:val="0"/>
        <w:adjustRightInd w:val="0"/>
        <w:jc w:val="both"/>
        <w:rPr>
          <w:rFonts w:ascii="Verdana" w:hAnsi="Verdana" w:cs="Arial"/>
          <w:sz w:val="22"/>
          <w:szCs w:val="22"/>
        </w:rPr>
      </w:pPr>
      <w:r w:rsidRPr="00B108CF">
        <w:rPr>
          <w:rFonts w:ascii="Verdana" w:hAnsi="Verdana" w:cs="Arial"/>
          <w:sz w:val="22"/>
          <w:szCs w:val="22"/>
        </w:rPr>
        <w:t>Proteger las claves de acceso a los sistemas de información. En desarrollo de esta obligación, la entidad deberá evitar el uso de claves compartidas, genéricas o para grupos. La identificación y autenticación en los dispositivos y sistemas de cómputo de las entidades deberá ser única y personalizada.</w:t>
      </w:r>
    </w:p>
    <w:p w14:paraId="1E31C2E7" w14:textId="77777777" w:rsidR="00CF5B32" w:rsidRPr="00B108CF" w:rsidRDefault="00CF5B32" w:rsidP="00CF5B32">
      <w:pPr>
        <w:autoSpaceDE w:val="0"/>
        <w:adjustRightInd w:val="0"/>
        <w:jc w:val="both"/>
        <w:rPr>
          <w:rFonts w:ascii="Verdana" w:hAnsi="Verdana" w:cs="Arial"/>
          <w:sz w:val="22"/>
          <w:szCs w:val="22"/>
        </w:rPr>
      </w:pPr>
    </w:p>
    <w:p w14:paraId="760ECE3D" w14:textId="77777777" w:rsidR="00CF5B32" w:rsidRPr="00B108CF" w:rsidRDefault="00CF5B32" w:rsidP="00CF5B32">
      <w:pPr>
        <w:numPr>
          <w:ilvl w:val="0"/>
          <w:numId w:val="14"/>
        </w:numPr>
        <w:autoSpaceDE w:val="0"/>
        <w:autoSpaceDN w:val="0"/>
        <w:adjustRightInd w:val="0"/>
        <w:jc w:val="both"/>
        <w:rPr>
          <w:rFonts w:ascii="Verdana" w:hAnsi="Verdana" w:cs="Arial"/>
          <w:sz w:val="22"/>
          <w:szCs w:val="22"/>
        </w:rPr>
      </w:pPr>
      <w:r w:rsidRPr="00B108CF">
        <w:rPr>
          <w:rFonts w:ascii="Verdana" w:hAnsi="Verdana" w:cs="Arial"/>
          <w:sz w:val="22"/>
          <w:szCs w:val="22"/>
        </w:rPr>
        <w:t>Dotar a sus terminales o equipos de cómputo de los elementos necesarios que eviten la instalación de programas o dispositivos que capturen la información de sus clientes y de sus operaciones.</w:t>
      </w:r>
    </w:p>
    <w:p w14:paraId="310AEE73" w14:textId="77777777" w:rsidR="00CF5B32" w:rsidRPr="00B108CF" w:rsidRDefault="00CF5B32" w:rsidP="00CF5B32">
      <w:pPr>
        <w:autoSpaceDE w:val="0"/>
        <w:adjustRightInd w:val="0"/>
        <w:jc w:val="both"/>
        <w:rPr>
          <w:rFonts w:ascii="Verdana" w:hAnsi="Verdana" w:cs="Arial"/>
          <w:sz w:val="22"/>
          <w:szCs w:val="22"/>
        </w:rPr>
      </w:pPr>
    </w:p>
    <w:p w14:paraId="0B6A8806" w14:textId="77777777" w:rsidR="00CF5B32" w:rsidRPr="00B108CF" w:rsidRDefault="00CF5B32" w:rsidP="00CF5B32">
      <w:pPr>
        <w:numPr>
          <w:ilvl w:val="0"/>
          <w:numId w:val="14"/>
        </w:numPr>
        <w:autoSpaceDE w:val="0"/>
        <w:autoSpaceDN w:val="0"/>
        <w:adjustRightInd w:val="0"/>
        <w:jc w:val="both"/>
        <w:rPr>
          <w:rFonts w:ascii="Verdana" w:hAnsi="Verdana" w:cs="Arial"/>
          <w:sz w:val="22"/>
          <w:szCs w:val="22"/>
        </w:rPr>
      </w:pPr>
      <w:r w:rsidRPr="00B108CF">
        <w:rPr>
          <w:rFonts w:ascii="Verdana" w:hAnsi="Verdana" w:cs="Arial"/>
          <w:sz w:val="22"/>
          <w:szCs w:val="22"/>
        </w:rPr>
        <w:t>Mantener aislado en un sitio seguro, los equipos utilizados para ingresar al aplicativo de pagos, de tal manera que solamente tenga acceso la persona encargada de ese efecto.</w:t>
      </w:r>
    </w:p>
    <w:p w14:paraId="10F10448" w14:textId="77777777" w:rsidR="00CF5B32" w:rsidRPr="00B108CF" w:rsidRDefault="00CF5B32" w:rsidP="00CF5B32">
      <w:pPr>
        <w:pStyle w:val="Ttulo3"/>
        <w:keepLines w:val="0"/>
        <w:numPr>
          <w:ilvl w:val="0"/>
          <w:numId w:val="16"/>
        </w:numPr>
        <w:spacing w:before="240" w:after="60"/>
        <w:rPr>
          <w:rFonts w:ascii="Verdana" w:hAnsi="Verdana" w:cs="Calibri-Bold"/>
          <w:bCs/>
          <w:sz w:val="22"/>
          <w:szCs w:val="22"/>
        </w:rPr>
      </w:pPr>
      <w:bookmarkStart w:id="3" w:name="_Toc514921038"/>
      <w:r w:rsidRPr="00B108CF">
        <w:rPr>
          <w:rFonts w:ascii="Verdana" w:hAnsi="Verdana" w:cs="Calibri-Bold"/>
          <w:sz w:val="22"/>
          <w:szCs w:val="22"/>
        </w:rPr>
        <w:t>ASPECTOS PREVENTIVOS DE LA ENTIDAD BANCARIA HACIA LA SUPERVIGILANCIA</w:t>
      </w:r>
      <w:bookmarkEnd w:id="3"/>
    </w:p>
    <w:p w14:paraId="093DF72E" w14:textId="77777777" w:rsidR="00CF5B32" w:rsidRPr="00B108CF" w:rsidRDefault="00CF5B32" w:rsidP="00CF5B32">
      <w:pPr>
        <w:autoSpaceDE w:val="0"/>
        <w:adjustRightInd w:val="0"/>
        <w:jc w:val="both"/>
        <w:rPr>
          <w:rFonts w:ascii="Verdana" w:hAnsi="Verdana"/>
          <w:sz w:val="22"/>
          <w:szCs w:val="22"/>
        </w:rPr>
      </w:pPr>
    </w:p>
    <w:p w14:paraId="29405BF4" w14:textId="77777777" w:rsidR="00CF5B32" w:rsidRPr="00B108CF" w:rsidRDefault="00CF5B32" w:rsidP="00CF5B32">
      <w:pPr>
        <w:autoSpaceDE w:val="0"/>
        <w:adjustRightInd w:val="0"/>
        <w:jc w:val="both"/>
        <w:rPr>
          <w:rFonts w:ascii="Verdana" w:hAnsi="Verdana" w:cs="Arial"/>
          <w:sz w:val="22"/>
          <w:szCs w:val="22"/>
        </w:rPr>
      </w:pPr>
      <w:r w:rsidRPr="00B108CF">
        <w:rPr>
          <w:rFonts w:ascii="Verdana" w:hAnsi="Verdana" w:cs="Arial"/>
          <w:sz w:val="22"/>
          <w:szCs w:val="22"/>
        </w:rPr>
        <w:t>La entidad bancaria brindará a la Supervigilancia toda la información necesaria para la prevención de un delito informático mediante folletos informativos donde consten las medidas de precaución sobre, delitos informáticos ya conocidos y las nuevas modalidades, así como, las acciones que deben realizar cuando haya sido víctima de un fraude electrónico.</w:t>
      </w:r>
    </w:p>
    <w:p w14:paraId="25147AFB" w14:textId="77777777" w:rsidR="00CF5B32" w:rsidRPr="00B108CF" w:rsidRDefault="00CF5B32" w:rsidP="00CF5B32">
      <w:pPr>
        <w:autoSpaceDE w:val="0"/>
        <w:adjustRightInd w:val="0"/>
        <w:jc w:val="both"/>
        <w:rPr>
          <w:rFonts w:ascii="Verdana" w:hAnsi="Verdana" w:cs="Arial"/>
          <w:sz w:val="22"/>
          <w:szCs w:val="22"/>
        </w:rPr>
      </w:pPr>
    </w:p>
    <w:p w14:paraId="1DBEB2C5" w14:textId="77777777" w:rsidR="00CF5B32" w:rsidRPr="00B108CF" w:rsidRDefault="00CF5B32" w:rsidP="00CF5B32">
      <w:pPr>
        <w:autoSpaceDE w:val="0"/>
        <w:adjustRightInd w:val="0"/>
        <w:jc w:val="both"/>
        <w:rPr>
          <w:rFonts w:ascii="Verdana" w:hAnsi="Verdana" w:cs="Arial"/>
          <w:sz w:val="22"/>
          <w:szCs w:val="22"/>
        </w:rPr>
      </w:pPr>
      <w:r w:rsidRPr="00B108CF">
        <w:rPr>
          <w:rFonts w:ascii="Verdana" w:hAnsi="Verdana" w:cs="Arial"/>
          <w:sz w:val="22"/>
          <w:szCs w:val="22"/>
        </w:rPr>
        <w:t>Adicionalmente, la entidad bancaria podrá:</w:t>
      </w:r>
    </w:p>
    <w:p w14:paraId="37DD0343" w14:textId="77777777" w:rsidR="00CF5B32" w:rsidRPr="00B108CF" w:rsidRDefault="00CF5B32" w:rsidP="00CF5B32">
      <w:pPr>
        <w:autoSpaceDE w:val="0"/>
        <w:adjustRightInd w:val="0"/>
        <w:jc w:val="both"/>
        <w:rPr>
          <w:rFonts w:ascii="Verdana" w:hAnsi="Verdana" w:cs="Arial"/>
          <w:sz w:val="22"/>
          <w:szCs w:val="22"/>
        </w:rPr>
      </w:pPr>
    </w:p>
    <w:p w14:paraId="34D2F70F" w14:textId="77777777" w:rsidR="00CF5B32" w:rsidRPr="00B108CF" w:rsidRDefault="00CF5B32" w:rsidP="00CF5B32">
      <w:pPr>
        <w:numPr>
          <w:ilvl w:val="0"/>
          <w:numId w:val="15"/>
        </w:numPr>
        <w:autoSpaceDE w:val="0"/>
        <w:autoSpaceDN w:val="0"/>
        <w:adjustRightInd w:val="0"/>
        <w:jc w:val="both"/>
        <w:rPr>
          <w:rFonts w:ascii="Verdana" w:hAnsi="Verdana" w:cs="Arial"/>
          <w:sz w:val="22"/>
          <w:szCs w:val="22"/>
        </w:rPr>
      </w:pPr>
      <w:r w:rsidRPr="00B108CF">
        <w:rPr>
          <w:rFonts w:ascii="Verdana" w:hAnsi="Verdana" w:cs="Arial"/>
          <w:sz w:val="22"/>
          <w:szCs w:val="22"/>
        </w:rPr>
        <w:t>Generar regularmente publicidad informativa mediante los canales que institucionalmente tenga previstos.</w:t>
      </w:r>
    </w:p>
    <w:p w14:paraId="1C5CCC80" w14:textId="77777777" w:rsidR="00CF5B32" w:rsidRPr="00B108CF" w:rsidRDefault="00CF5B32" w:rsidP="00CF5B32">
      <w:pPr>
        <w:autoSpaceDE w:val="0"/>
        <w:adjustRightInd w:val="0"/>
        <w:jc w:val="both"/>
        <w:rPr>
          <w:rFonts w:ascii="Verdana" w:hAnsi="Verdana" w:cs="Arial"/>
          <w:sz w:val="22"/>
          <w:szCs w:val="22"/>
        </w:rPr>
      </w:pPr>
    </w:p>
    <w:p w14:paraId="2F1DFA02" w14:textId="77777777" w:rsidR="00CF5B32" w:rsidRPr="00B108CF" w:rsidRDefault="00CF5B32" w:rsidP="00CF5B32">
      <w:pPr>
        <w:numPr>
          <w:ilvl w:val="0"/>
          <w:numId w:val="15"/>
        </w:numPr>
        <w:autoSpaceDE w:val="0"/>
        <w:autoSpaceDN w:val="0"/>
        <w:adjustRightInd w:val="0"/>
        <w:jc w:val="both"/>
        <w:rPr>
          <w:rFonts w:ascii="Verdana" w:hAnsi="Verdana" w:cs="Arial"/>
          <w:sz w:val="22"/>
          <w:szCs w:val="22"/>
        </w:rPr>
      </w:pPr>
      <w:r w:rsidRPr="00B108CF">
        <w:rPr>
          <w:rFonts w:ascii="Verdana" w:hAnsi="Verdana" w:cs="Arial"/>
          <w:sz w:val="22"/>
          <w:szCs w:val="22"/>
        </w:rPr>
        <w:t>Crear aplicaciones de información y capacitación para los usuarios, a través de la página web.</w:t>
      </w:r>
    </w:p>
    <w:p w14:paraId="2C0CD859" w14:textId="77777777" w:rsidR="00CF5B32" w:rsidRPr="00B108CF" w:rsidRDefault="00CF5B32" w:rsidP="00CF5B32">
      <w:pPr>
        <w:autoSpaceDE w:val="0"/>
        <w:adjustRightInd w:val="0"/>
        <w:jc w:val="both"/>
        <w:rPr>
          <w:rFonts w:ascii="Verdana" w:hAnsi="Verdana" w:cs="Arial"/>
          <w:sz w:val="22"/>
          <w:szCs w:val="22"/>
        </w:rPr>
      </w:pPr>
    </w:p>
    <w:p w14:paraId="03D49BF6" w14:textId="77777777" w:rsidR="00CF5B32" w:rsidRPr="00B108CF" w:rsidRDefault="00CF5B32" w:rsidP="00CF5B32">
      <w:pPr>
        <w:numPr>
          <w:ilvl w:val="0"/>
          <w:numId w:val="15"/>
        </w:numPr>
        <w:autoSpaceDE w:val="0"/>
        <w:autoSpaceDN w:val="0"/>
        <w:adjustRightInd w:val="0"/>
        <w:jc w:val="both"/>
        <w:rPr>
          <w:rFonts w:ascii="Verdana" w:hAnsi="Verdana" w:cs="Arial"/>
          <w:sz w:val="22"/>
          <w:szCs w:val="22"/>
        </w:rPr>
      </w:pPr>
      <w:r w:rsidRPr="00B108CF">
        <w:rPr>
          <w:rFonts w:ascii="Verdana" w:hAnsi="Verdana" w:cs="Arial"/>
          <w:sz w:val="22"/>
          <w:szCs w:val="22"/>
        </w:rPr>
        <w:t>Información mediante correo electrónico a la Tesorería de la Supervigilancia, sobre el cierre o inactivación del portal de pago en fin de semana (sábado, domingo y/o lunes festivo).</w:t>
      </w:r>
    </w:p>
    <w:p w14:paraId="0E6FE6BD" w14:textId="77777777" w:rsidR="00CF5B32" w:rsidRPr="00B108CF" w:rsidRDefault="00CF5B32" w:rsidP="00CF5B32">
      <w:pPr>
        <w:pStyle w:val="Ttulo3"/>
        <w:keepLines w:val="0"/>
        <w:numPr>
          <w:ilvl w:val="0"/>
          <w:numId w:val="16"/>
        </w:numPr>
        <w:spacing w:before="240" w:after="60"/>
        <w:rPr>
          <w:rFonts w:ascii="Verdana" w:hAnsi="Verdana" w:cs="Calibri-Bold"/>
          <w:bCs/>
          <w:sz w:val="22"/>
          <w:szCs w:val="22"/>
        </w:rPr>
      </w:pPr>
      <w:bookmarkStart w:id="4" w:name="_Toc514921039"/>
      <w:r w:rsidRPr="00B108CF">
        <w:rPr>
          <w:rFonts w:ascii="Verdana" w:hAnsi="Verdana" w:cs="Calibri-Bold"/>
          <w:sz w:val="22"/>
          <w:szCs w:val="22"/>
        </w:rPr>
        <w:t>CRITERIOS TENER EN CUENTA POR LA SUPERVIGILANCIA PARA EVITAR EL FRAUDE, ROBO Y/O PERDIDA DE RECURSOS DE LAS CUENTAS BANCARIAS.</w:t>
      </w:r>
      <w:bookmarkEnd w:id="4"/>
    </w:p>
    <w:p w14:paraId="75F3A73D" w14:textId="77777777" w:rsidR="00CF5B32" w:rsidRPr="00B108CF" w:rsidRDefault="00CF5B32" w:rsidP="00CF5B32">
      <w:pPr>
        <w:autoSpaceDE w:val="0"/>
        <w:adjustRightInd w:val="0"/>
        <w:jc w:val="both"/>
        <w:rPr>
          <w:rFonts w:ascii="Verdana" w:hAnsi="Verdana" w:cs="Arial"/>
          <w:sz w:val="22"/>
          <w:szCs w:val="22"/>
        </w:rPr>
      </w:pPr>
    </w:p>
    <w:p w14:paraId="1F63D369" w14:textId="77777777" w:rsidR="00CF5B32" w:rsidRPr="00B108CF" w:rsidRDefault="00CF5B32" w:rsidP="00CF5B32">
      <w:pPr>
        <w:numPr>
          <w:ilvl w:val="1"/>
          <w:numId w:val="10"/>
        </w:numPr>
        <w:autoSpaceDE w:val="0"/>
        <w:autoSpaceDN w:val="0"/>
        <w:adjustRightInd w:val="0"/>
        <w:jc w:val="both"/>
        <w:rPr>
          <w:rFonts w:ascii="Verdana" w:hAnsi="Verdana" w:cs="Arial"/>
          <w:sz w:val="22"/>
          <w:szCs w:val="22"/>
        </w:rPr>
      </w:pPr>
      <w:r w:rsidRPr="00B108CF">
        <w:rPr>
          <w:rFonts w:ascii="Verdana" w:hAnsi="Verdana" w:cs="Arial"/>
          <w:sz w:val="22"/>
          <w:szCs w:val="22"/>
        </w:rPr>
        <w:t>Mantener hasta donde sea posible, saldos mínimos en las cuentas corrientes, sobre todo en periodos de fin de semana o ausencias prolongadas.</w:t>
      </w:r>
    </w:p>
    <w:p w14:paraId="53B22D8C" w14:textId="77777777" w:rsidR="00CF5B32" w:rsidRPr="00B108CF" w:rsidRDefault="00CF5B32" w:rsidP="00CF5B32">
      <w:pPr>
        <w:numPr>
          <w:ilvl w:val="1"/>
          <w:numId w:val="10"/>
        </w:numPr>
        <w:autoSpaceDE w:val="0"/>
        <w:autoSpaceDN w:val="0"/>
        <w:adjustRightInd w:val="0"/>
        <w:jc w:val="both"/>
        <w:rPr>
          <w:rFonts w:ascii="Verdana" w:hAnsi="Verdana" w:cs="Arial"/>
          <w:sz w:val="22"/>
          <w:szCs w:val="22"/>
        </w:rPr>
      </w:pPr>
      <w:r w:rsidRPr="00B108CF">
        <w:rPr>
          <w:rFonts w:ascii="Verdana" w:hAnsi="Verdana" w:cs="Arial"/>
          <w:sz w:val="22"/>
          <w:szCs w:val="22"/>
        </w:rPr>
        <w:t>Revisión diaria de valores dejados en cuentas en el día anterior, realizando el cotejo o cruce de saldos iniciales con finales del día anterior, confirmando movimientos débitos con órdenes de pago realizadas.</w:t>
      </w:r>
    </w:p>
    <w:p w14:paraId="758A3BDB" w14:textId="77777777" w:rsidR="00CF5B32" w:rsidRPr="00B108CF" w:rsidRDefault="00CF5B32" w:rsidP="00CF5B32">
      <w:pPr>
        <w:numPr>
          <w:ilvl w:val="1"/>
          <w:numId w:val="10"/>
        </w:numPr>
        <w:autoSpaceDE w:val="0"/>
        <w:autoSpaceDN w:val="0"/>
        <w:adjustRightInd w:val="0"/>
        <w:jc w:val="both"/>
        <w:rPr>
          <w:rFonts w:ascii="Verdana" w:hAnsi="Verdana" w:cs="Arial"/>
          <w:sz w:val="22"/>
          <w:szCs w:val="22"/>
        </w:rPr>
      </w:pPr>
      <w:r w:rsidRPr="00B108CF">
        <w:rPr>
          <w:rFonts w:ascii="Verdana" w:hAnsi="Verdana" w:cs="Arial"/>
          <w:sz w:val="22"/>
          <w:szCs w:val="22"/>
        </w:rPr>
        <w:t>Registro de operaciones débito y crédito en el libro diario de bancos, manteniendo actualizados los saldos en cuentas, con los saldos resultantes de cada ejercicio en forma diaria.</w:t>
      </w:r>
    </w:p>
    <w:p w14:paraId="53274541" w14:textId="77777777" w:rsidR="00CF5B32" w:rsidRPr="00B108CF" w:rsidRDefault="00CF5B32" w:rsidP="00CF5B32">
      <w:pPr>
        <w:numPr>
          <w:ilvl w:val="1"/>
          <w:numId w:val="10"/>
        </w:numPr>
        <w:autoSpaceDE w:val="0"/>
        <w:autoSpaceDN w:val="0"/>
        <w:adjustRightInd w:val="0"/>
        <w:jc w:val="both"/>
        <w:rPr>
          <w:rFonts w:ascii="Verdana" w:hAnsi="Verdana" w:cs="Arial"/>
          <w:sz w:val="22"/>
          <w:szCs w:val="22"/>
        </w:rPr>
      </w:pPr>
      <w:r w:rsidRPr="00B108CF">
        <w:rPr>
          <w:rFonts w:ascii="Verdana" w:hAnsi="Verdana" w:cs="Arial"/>
          <w:sz w:val="22"/>
          <w:szCs w:val="22"/>
        </w:rPr>
        <w:lastRenderedPageBreak/>
        <w:t>Custodiar en la caja fuerte dispositivos como toquen de entrada al portal bancario de pagos, en fines de semana o ausencias prolongadas del funcionario encargado del asunto.</w:t>
      </w:r>
    </w:p>
    <w:p w14:paraId="2498C2D4" w14:textId="77777777" w:rsidR="00CF5B32" w:rsidRPr="00B108CF" w:rsidRDefault="00CF5B32" w:rsidP="00CF5B32">
      <w:pPr>
        <w:numPr>
          <w:ilvl w:val="1"/>
          <w:numId w:val="10"/>
        </w:numPr>
        <w:autoSpaceDE w:val="0"/>
        <w:autoSpaceDN w:val="0"/>
        <w:adjustRightInd w:val="0"/>
        <w:jc w:val="both"/>
        <w:rPr>
          <w:rFonts w:ascii="Verdana" w:hAnsi="Verdana" w:cs="Arial"/>
          <w:sz w:val="22"/>
          <w:szCs w:val="22"/>
        </w:rPr>
      </w:pPr>
      <w:r w:rsidRPr="00B108CF">
        <w:rPr>
          <w:rFonts w:ascii="Verdana" w:hAnsi="Verdana" w:cs="Arial"/>
          <w:sz w:val="22"/>
          <w:szCs w:val="22"/>
        </w:rPr>
        <w:t xml:space="preserve">Custodiar en la caja fuerte de manera permanente sellos secos, húmedos y protectorado, con los que se autoriza a la entidad bancaria, la emisión de cheques de gerencia.  </w:t>
      </w:r>
    </w:p>
    <w:p w14:paraId="13770E4B" w14:textId="77777777" w:rsidR="00CF5B32" w:rsidRPr="00B108CF" w:rsidRDefault="00CF5B32" w:rsidP="00CF5B32">
      <w:pPr>
        <w:numPr>
          <w:ilvl w:val="1"/>
          <w:numId w:val="10"/>
        </w:numPr>
        <w:autoSpaceDE w:val="0"/>
        <w:autoSpaceDN w:val="0"/>
        <w:adjustRightInd w:val="0"/>
        <w:jc w:val="both"/>
        <w:rPr>
          <w:rFonts w:ascii="Verdana" w:hAnsi="Verdana" w:cs="Arial"/>
          <w:sz w:val="22"/>
          <w:szCs w:val="22"/>
        </w:rPr>
      </w:pPr>
      <w:r w:rsidRPr="00B108CF">
        <w:rPr>
          <w:rFonts w:ascii="Verdana" w:hAnsi="Verdana" w:cs="Arial"/>
          <w:sz w:val="22"/>
          <w:szCs w:val="22"/>
        </w:rPr>
        <w:t>Gestionar ante el banco la emisión de cheques de gerencia, únicamente con el personal autorizado de la Supervigilancia, para este efecto.</w:t>
      </w:r>
    </w:p>
    <w:p w14:paraId="596C0D77" w14:textId="77777777" w:rsidR="00CF5B32" w:rsidRPr="00B108CF" w:rsidRDefault="00CF5B32" w:rsidP="00CF5B32">
      <w:pPr>
        <w:numPr>
          <w:ilvl w:val="1"/>
          <w:numId w:val="10"/>
        </w:numPr>
        <w:autoSpaceDE w:val="0"/>
        <w:autoSpaceDN w:val="0"/>
        <w:adjustRightInd w:val="0"/>
        <w:jc w:val="both"/>
        <w:rPr>
          <w:rFonts w:ascii="Verdana" w:hAnsi="Verdana" w:cs="Arial"/>
          <w:sz w:val="22"/>
          <w:szCs w:val="22"/>
        </w:rPr>
      </w:pPr>
      <w:r w:rsidRPr="00B108CF">
        <w:rPr>
          <w:rFonts w:ascii="Verdana" w:hAnsi="Verdana" w:cs="Arial"/>
          <w:sz w:val="22"/>
          <w:szCs w:val="22"/>
        </w:rPr>
        <w:t>Gestionar cuando se requieran las firmas de funcionarios autorizados ante la entidad bancaria, con absoluta discreción y seguridad, sin que demás personas tengan acceso a los documentos.</w:t>
      </w:r>
    </w:p>
    <w:p w14:paraId="214D6D3E" w14:textId="77777777" w:rsidR="00CF5B32" w:rsidRPr="00B108CF" w:rsidRDefault="00CF5B32" w:rsidP="00CF5B32">
      <w:pPr>
        <w:numPr>
          <w:ilvl w:val="1"/>
          <w:numId w:val="10"/>
        </w:numPr>
        <w:autoSpaceDE w:val="0"/>
        <w:autoSpaceDN w:val="0"/>
        <w:adjustRightInd w:val="0"/>
        <w:jc w:val="both"/>
        <w:rPr>
          <w:rFonts w:ascii="Verdana" w:hAnsi="Verdana" w:cs="Arial"/>
          <w:sz w:val="22"/>
          <w:szCs w:val="22"/>
        </w:rPr>
      </w:pPr>
      <w:r w:rsidRPr="00B108CF">
        <w:rPr>
          <w:rFonts w:ascii="Verdana" w:hAnsi="Verdana" w:cs="Arial"/>
          <w:sz w:val="22"/>
          <w:szCs w:val="22"/>
        </w:rPr>
        <w:t xml:space="preserve">Informar y gestionar oportunamente ante la entidad bancaria, cualquier modificación que, por traslado, renuncia u otros motivos pudiera presentarse con el personal autorizado para el manejo de las cuentas corrientes de la Supervigilancia. </w:t>
      </w:r>
    </w:p>
    <w:p w14:paraId="3264A34A" w14:textId="77777777" w:rsidR="00CF5B32" w:rsidRPr="00B108CF" w:rsidRDefault="00CF5B32" w:rsidP="00CF5B32">
      <w:pPr>
        <w:numPr>
          <w:ilvl w:val="1"/>
          <w:numId w:val="10"/>
        </w:numPr>
        <w:autoSpaceDE w:val="0"/>
        <w:autoSpaceDN w:val="0"/>
        <w:adjustRightInd w:val="0"/>
        <w:jc w:val="both"/>
        <w:rPr>
          <w:rFonts w:ascii="Verdana" w:hAnsi="Verdana" w:cs="Arial"/>
          <w:sz w:val="22"/>
          <w:szCs w:val="22"/>
        </w:rPr>
      </w:pPr>
      <w:r w:rsidRPr="00B108CF">
        <w:rPr>
          <w:rFonts w:ascii="Verdana" w:hAnsi="Verdana" w:cs="Arial"/>
          <w:sz w:val="22"/>
          <w:szCs w:val="22"/>
        </w:rPr>
        <w:t>El administrador del portal de pagos deberá mantener actualizados los parámetros establecidos para realizar el procedimiento de pagos, limitando acceso los fines de semana y hasta determinada hora del día, de la misma manera deberá delimitar montos de pago, funcionarios responsables y gestionará ante el banco los permisos y autorizaciones de los funcionarios comprometidos con esta labor.</w:t>
      </w:r>
    </w:p>
    <w:p w14:paraId="59D91776" w14:textId="224C3F66" w:rsidR="00CF5B32" w:rsidRPr="00B108CF" w:rsidRDefault="00CF5B32" w:rsidP="00CF5B32">
      <w:pPr>
        <w:numPr>
          <w:ilvl w:val="1"/>
          <w:numId w:val="10"/>
        </w:numPr>
        <w:autoSpaceDE w:val="0"/>
        <w:autoSpaceDN w:val="0"/>
        <w:adjustRightInd w:val="0"/>
        <w:jc w:val="both"/>
        <w:rPr>
          <w:rFonts w:ascii="Verdana" w:hAnsi="Verdana" w:cs="Arial"/>
          <w:sz w:val="22"/>
          <w:szCs w:val="22"/>
        </w:rPr>
      </w:pPr>
      <w:r w:rsidRPr="00B108CF">
        <w:rPr>
          <w:rFonts w:ascii="Verdana" w:hAnsi="Verdana" w:cs="Arial"/>
          <w:sz w:val="22"/>
          <w:szCs w:val="22"/>
        </w:rPr>
        <w:t xml:space="preserve">En el momento en que existan operaciones de compra y/o venta de títulos valores con el Ministerio De Hacienda y Crédito Público, el funcionario responsable de esta actividad, deberá presentar ante la entidad bancaria la información precisa de la operación a llevarse a cabo, los montos exactos, en valores nominales y valores de giro, al mismo tiempo deberá estar pendiente de que la operación se realice en debida forma, verificando valores recibidos o retirados de las cuentas de la </w:t>
      </w:r>
      <w:r w:rsidR="00B108CF" w:rsidRPr="00B108CF">
        <w:rPr>
          <w:rFonts w:ascii="Verdana" w:hAnsi="Verdana" w:cs="Arial"/>
          <w:sz w:val="22"/>
          <w:szCs w:val="22"/>
        </w:rPr>
        <w:t>Supervigilancia</w:t>
      </w:r>
      <w:r w:rsidRPr="00B108CF">
        <w:rPr>
          <w:rFonts w:ascii="Verdana" w:hAnsi="Verdana" w:cs="Arial"/>
          <w:sz w:val="22"/>
          <w:szCs w:val="22"/>
        </w:rPr>
        <w:t>, según sea el caso.</w:t>
      </w:r>
    </w:p>
    <w:p w14:paraId="7865F1F1" w14:textId="77777777" w:rsidR="00CF5B32" w:rsidRPr="00B108CF" w:rsidRDefault="00CF5B32" w:rsidP="00CF5B32">
      <w:pPr>
        <w:numPr>
          <w:ilvl w:val="1"/>
          <w:numId w:val="10"/>
        </w:numPr>
        <w:autoSpaceDE w:val="0"/>
        <w:autoSpaceDN w:val="0"/>
        <w:adjustRightInd w:val="0"/>
        <w:jc w:val="both"/>
        <w:rPr>
          <w:rFonts w:ascii="Verdana" w:hAnsi="Verdana" w:cs="Arial"/>
          <w:sz w:val="22"/>
          <w:szCs w:val="22"/>
        </w:rPr>
      </w:pPr>
      <w:r w:rsidRPr="00B108CF">
        <w:rPr>
          <w:rFonts w:ascii="Verdana" w:hAnsi="Verdana" w:cs="Arial"/>
          <w:sz w:val="22"/>
          <w:szCs w:val="22"/>
        </w:rPr>
        <w:t>Cambiar periódicamente la clave de acceso al portal bancario, no permitir el acceso al portal de pagos a través de equipos de otras áreas en la entidad, ni fuera de ella.</w:t>
      </w:r>
    </w:p>
    <w:p w14:paraId="79FF8FDA" w14:textId="77777777" w:rsidR="00CF5B32" w:rsidRPr="00B108CF" w:rsidRDefault="00CF5B32" w:rsidP="00CF5B32">
      <w:pPr>
        <w:numPr>
          <w:ilvl w:val="1"/>
          <w:numId w:val="10"/>
        </w:numPr>
        <w:autoSpaceDE w:val="0"/>
        <w:autoSpaceDN w:val="0"/>
        <w:adjustRightInd w:val="0"/>
        <w:jc w:val="both"/>
        <w:rPr>
          <w:rFonts w:ascii="Verdana" w:hAnsi="Verdana" w:cs="Arial"/>
          <w:sz w:val="22"/>
          <w:szCs w:val="22"/>
        </w:rPr>
      </w:pPr>
      <w:r w:rsidRPr="00B108CF">
        <w:rPr>
          <w:rFonts w:ascii="Verdana" w:hAnsi="Verdana" w:cs="Arial"/>
          <w:sz w:val="22"/>
          <w:szCs w:val="22"/>
        </w:rPr>
        <w:t>Las demás actividades y/o actuaciones del funcionario, que permitan la protección, custodia y adecuado manejo de los recursos de la Supervigilancia y por consiguiente del erario.</w:t>
      </w:r>
    </w:p>
    <w:p w14:paraId="5C3E8E36" w14:textId="77777777" w:rsidR="00CF5B32" w:rsidRPr="00B108CF" w:rsidRDefault="00CF5B32" w:rsidP="00CF5B32">
      <w:pPr>
        <w:pStyle w:val="Ttulo3"/>
        <w:keepLines w:val="0"/>
        <w:numPr>
          <w:ilvl w:val="0"/>
          <w:numId w:val="16"/>
        </w:numPr>
        <w:spacing w:before="240" w:after="60"/>
        <w:rPr>
          <w:rFonts w:ascii="Verdana" w:hAnsi="Verdana"/>
          <w:sz w:val="22"/>
          <w:szCs w:val="22"/>
        </w:rPr>
      </w:pPr>
      <w:bookmarkStart w:id="5" w:name="_Toc514921040"/>
      <w:r w:rsidRPr="00B108CF">
        <w:rPr>
          <w:rFonts w:ascii="Verdana" w:hAnsi="Verdana"/>
          <w:sz w:val="22"/>
          <w:szCs w:val="22"/>
        </w:rPr>
        <w:t>DOCUMENTOS RELACIONADOS</w:t>
      </w:r>
      <w:bookmarkEnd w:id="5"/>
    </w:p>
    <w:p w14:paraId="66E29CBC" w14:textId="77777777" w:rsidR="00CF5B32" w:rsidRPr="00B108CF" w:rsidRDefault="00CF5B32" w:rsidP="00CF5B32">
      <w:pPr>
        <w:rPr>
          <w:rFonts w:ascii="Verdana" w:hAnsi="Verdana" w:cs="Arial"/>
          <w:sz w:val="22"/>
          <w:szCs w:val="22"/>
        </w:rPr>
      </w:pPr>
    </w:p>
    <w:p w14:paraId="1EA3C073" w14:textId="77777777" w:rsidR="00CF5B32" w:rsidRPr="00B108CF" w:rsidRDefault="00CF5B32" w:rsidP="00CF5B32">
      <w:pPr>
        <w:autoSpaceDE w:val="0"/>
        <w:adjustRightInd w:val="0"/>
        <w:jc w:val="both"/>
        <w:rPr>
          <w:rFonts w:ascii="Verdana" w:hAnsi="Verdana" w:cs="Arial"/>
          <w:sz w:val="22"/>
          <w:szCs w:val="22"/>
        </w:rPr>
      </w:pPr>
      <w:r w:rsidRPr="00B108CF">
        <w:rPr>
          <w:rFonts w:ascii="Verdana" w:hAnsi="Verdana" w:cs="Arial"/>
          <w:b/>
          <w:bCs/>
          <w:sz w:val="22"/>
          <w:szCs w:val="22"/>
        </w:rPr>
        <w:t xml:space="preserve">Fuente de información: </w:t>
      </w:r>
      <w:r w:rsidRPr="00B108CF">
        <w:rPr>
          <w:rFonts w:ascii="Verdana" w:hAnsi="Verdana" w:cs="Arial"/>
          <w:sz w:val="22"/>
          <w:szCs w:val="22"/>
        </w:rPr>
        <w:t>La entidad podrá recibir la información sobre la sospecha de un posible delito informático mediante los siguientes medios:</w:t>
      </w:r>
    </w:p>
    <w:p w14:paraId="0B1AC1B0" w14:textId="77777777" w:rsidR="00CF5B32" w:rsidRPr="00B108CF" w:rsidRDefault="00CF5B32" w:rsidP="00CF5B32">
      <w:pPr>
        <w:autoSpaceDE w:val="0"/>
        <w:adjustRightInd w:val="0"/>
        <w:jc w:val="both"/>
        <w:rPr>
          <w:rFonts w:ascii="Verdana" w:hAnsi="Verdana" w:cs="Arial"/>
          <w:sz w:val="22"/>
          <w:szCs w:val="22"/>
        </w:rPr>
      </w:pPr>
    </w:p>
    <w:p w14:paraId="1C854279" w14:textId="77777777" w:rsidR="00CF5B32" w:rsidRPr="00B108CF" w:rsidRDefault="00CF5B32" w:rsidP="00CF5B32">
      <w:pPr>
        <w:numPr>
          <w:ilvl w:val="0"/>
          <w:numId w:val="13"/>
        </w:numPr>
        <w:autoSpaceDE w:val="0"/>
        <w:autoSpaceDN w:val="0"/>
        <w:adjustRightInd w:val="0"/>
        <w:jc w:val="both"/>
        <w:rPr>
          <w:rFonts w:ascii="Verdana" w:hAnsi="Verdana" w:cs="Arial"/>
          <w:sz w:val="22"/>
          <w:szCs w:val="22"/>
        </w:rPr>
      </w:pPr>
      <w:r w:rsidRPr="00B108CF">
        <w:rPr>
          <w:rFonts w:ascii="Verdana" w:eastAsia="Wingdings-Regular" w:hAnsi="Verdana" w:cs="Arial"/>
          <w:sz w:val="22"/>
          <w:szCs w:val="22"/>
        </w:rPr>
        <w:t>-D</w:t>
      </w:r>
      <w:r w:rsidRPr="00B108CF">
        <w:rPr>
          <w:rFonts w:ascii="Verdana" w:hAnsi="Verdana" w:cs="Arial"/>
          <w:sz w:val="22"/>
          <w:szCs w:val="22"/>
        </w:rPr>
        <w:t>epartamento de Seguridad del Banco</w:t>
      </w:r>
    </w:p>
    <w:p w14:paraId="3F53E503" w14:textId="77777777" w:rsidR="00CF5B32" w:rsidRPr="00B108CF" w:rsidRDefault="00CF5B32" w:rsidP="00CF5B32">
      <w:pPr>
        <w:numPr>
          <w:ilvl w:val="0"/>
          <w:numId w:val="13"/>
        </w:numPr>
        <w:autoSpaceDE w:val="0"/>
        <w:autoSpaceDN w:val="0"/>
        <w:adjustRightInd w:val="0"/>
        <w:jc w:val="both"/>
        <w:rPr>
          <w:rFonts w:ascii="Verdana" w:hAnsi="Verdana" w:cs="Arial"/>
          <w:sz w:val="22"/>
          <w:szCs w:val="22"/>
        </w:rPr>
      </w:pPr>
      <w:r w:rsidRPr="00B108CF">
        <w:rPr>
          <w:rFonts w:ascii="Verdana" w:eastAsia="Wingdings-Regular" w:hAnsi="Verdana" w:cs="Arial"/>
          <w:sz w:val="22"/>
          <w:szCs w:val="22"/>
        </w:rPr>
        <w:t>-</w:t>
      </w:r>
      <w:r w:rsidRPr="00B108CF">
        <w:rPr>
          <w:rFonts w:ascii="Verdana" w:hAnsi="Verdana" w:cs="Arial"/>
          <w:sz w:val="22"/>
          <w:szCs w:val="22"/>
        </w:rPr>
        <w:t>Sucursal o Centro de Contactos</w:t>
      </w:r>
    </w:p>
    <w:p w14:paraId="108581C1" w14:textId="77777777" w:rsidR="00CF5B32" w:rsidRPr="00B108CF" w:rsidRDefault="00CF5B32" w:rsidP="00CF5B32">
      <w:pPr>
        <w:numPr>
          <w:ilvl w:val="0"/>
          <w:numId w:val="13"/>
        </w:numPr>
        <w:autoSpaceDE w:val="0"/>
        <w:autoSpaceDN w:val="0"/>
        <w:adjustRightInd w:val="0"/>
        <w:jc w:val="both"/>
        <w:rPr>
          <w:rFonts w:ascii="Verdana" w:hAnsi="Verdana" w:cs="Arial"/>
          <w:sz w:val="22"/>
          <w:szCs w:val="22"/>
        </w:rPr>
      </w:pPr>
      <w:r w:rsidRPr="00B108CF">
        <w:rPr>
          <w:rFonts w:ascii="Verdana" w:eastAsia="Wingdings-Regular" w:hAnsi="Verdana" w:cs="Arial"/>
          <w:sz w:val="22"/>
          <w:szCs w:val="22"/>
        </w:rPr>
        <w:t>-</w:t>
      </w:r>
      <w:r w:rsidRPr="00B108CF">
        <w:rPr>
          <w:rFonts w:ascii="Verdana" w:hAnsi="Verdana" w:cs="Arial"/>
          <w:sz w:val="22"/>
          <w:szCs w:val="22"/>
        </w:rPr>
        <w:t>Informantes</w:t>
      </w:r>
    </w:p>
    <w:p w14:paraId="6CCF7E89" w14:textId="77777777" w:rsidR="00CF5B32" w:rsidRPr="00B108CF" w:rsidRDefault="00CF5B32" w:rsidP="00CF5B32">
      <w:pPr>
        <w:numPr>
          <w:ilvl w:val="0"/>
          <w:numId w:val="13"/>
        </w:numPr>
        <w:autoSpaceDE w:val="0"/>
        <w:autoSpaceDN w:val="0"/>
        <w:adjustRightInd w:val="0"/>
        <w:jc w:val="both"/>
        <w:rPr>
          <w:rFonts w:ascii="Verdana" w:hAnsi="Verdana" w:cs="Arial"/>
          <w:sz w:val="22"/>
          <w:szCs w:val="22"/>
        </w:rPr>
      </w:pPr>
      <w:r w:rsidRPr="00B108CF">
        <w:rPr>
          <w:rFonts w:ascii="Verdana" w:eastAsia="Wingdings-Regular" w:hAnsi="Verdana" w:cs="Arial"/>
          <w:sz w:val="22"/>
          <w:szCs w:val="22"/>
        </w:rPr>
        <w:t>-</w:t>
      </w:r>
      <w:r w:rsidRPr="00B108CF">
        <w:rPr>
          <w:rFonts w:ascii="Verdana" w:hAnsi="Verdana" w:cs="Arial"/>
          <w:sz w:val="22"/>
          <w:szCs w:val="22"/>
        </w:rPr>
        <w:t>Organismo de Investigación Judicial</w:t>
      </w:r>
    </w:p>
    <w:p w14:paraId="6F363B2A" w14:textId="77777777" w:rsidR="00CF5B32" w:rsidRPr="00B108CF" w:rsidRDefault="00CF5B32" w:rsidP="00CF5B32">
      <w:pPr>
        <w:rPr>
          <w:rFonts w:ascii="Verdana" w:hAnsi="Verdana"/>
          <w:sz w:val="22"/>
          <w:szCs w:val="22"/>
        </w:rPr>
      </w:pPr>
    </w:p>
    <w:p w14:paraId="5F768CD2" w14:textId="0CED9B6A" w:rsidR="001359AE" w:rsidRPr="00B108CF" w:rsidRDefault="001359AE" w:rsidP="005D712D">
      <w:pPr>
        <w:rPr>
          <w:rFonts w:ascii="Verdana" w:hAnsi="Verdana"/>
          <w:sz w:val="22"/>
          <w:szCs w:val="22"/>
        </w:rPr>
      </w:pPr>
    </w:p>
    <w:sectPr w:rsidR="001359AE" w:rsidRPr="00B108CF" w:rsidSect="00B108CF">
      <w:headerReference w:type="default" r:id="rId8"/>
      <w:footerReference w:type="default" r:id="rId9"/>
      <w:pgSz w:w="12240" w:h="20160" w:code="5"/>
      <w:pgMar w:top="1702"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C43F4" w14:textId="77777777" w:rsidR="008F687C" w:rsidRDefault="008F687C" w:rsidP="008B51F5">
      <w:r>
        <w:separator/>
      </w:r>
    </w:p>
  </w:endnote>
  <w:endnote w:type="continuationSeparator" w:id="0">
    <w:p w14:paraId="44C953EE" w14:textId="77777777" w:rsidR="008F687C" w:rsidRDefault="008F687C"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Montserrat">
    <w:altName w:val="Times New Roman"/>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4944F941"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0C1F6E" w:rsidRPr="000C1F6E">
      <w:rPr>
        <w:rFonts w:ascii="Montserrat" w:hAnsi="Montserrat"/>
        <w:noProof/>
        <w:sz w:val="14"/>
        <w:lang w:val="es-ES"/>
      </w:rPr>
      <w:t>4</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0C1F6E" w:rsidRPr="000C1F6E">
      <w:rPr>
        <w:rFonts w:ascii="Montserrat" w:hAnsi="Montserrat"/>
        <w:noProof/>
        <w:sz w:val="14"/>
        <w:lang w:val="es-ES"/>
      </w:rPr>
      <w:t>4</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B108CF" w:rsidRDefault="00AF746E" w:rsidP="00392618">
                          <w:pPr>
                            <w:rPr>
                              <w:rFonts w:ascii="Verdana" w:eastAsia="Times New Roman" w:hAnsi="Verdana" w:cs="Arial"/>
                              <w:bCs/>
                              <w:color w:val="767171" w:themeColor="background2" w:themeShade="80"/>
                              <w:sz w:val="14"/>
                              <w:szCs w:val="16"/>
                              <w:lang w:eastAsia="es-CO"/>
                            </w:rPr>
                          </w:pPr>
                          <w:r w:rsidRPr="00B108CF">
                            <w:rPr>
                              <w:rFonts w:ascii="Verdana" w:eastAsia="Times New Roman" w:hAnsi="Verdana" w:cs="Arial"/>
                              <w:b/>
                              <w:bCs/>
                              <w:color w:val="767171" w:themeColor="background2" w:themeShade="80"/>
                              <w:sz w:val="14"/>
                              <w:szCs w:val="16"/>
                              <w:lang w:eastAsia="es-CO"/>
                            </w:rPr>
                            <w:t>Dirección:</w:t>
                          </w:r>
                          <w:r w:rsidRPr="00B108CF">
                            <w:rPr>
                              <w:rFonts w:ascii="Verdana" w:eastAsia="Times New Roman" w:hAnsi="Verdana" w:cs="Arial"/>
                              <w:bCs/>
                              <w:color w:val="767171" w:themeColor="background2" w:themeShade="80"/>
                              <w:sz w:val="14"/>
                              <w:szCs w:val="16"/>
                              <w:lang w:eastAsia="es-CO"/>
                            </w:rPr>
                            <w:t xml:space="preserve"> </w:t>
                          </w:r>
                          <w:r w:rsidR="00392618" w:rsidRPr="00B108CF">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B108CF" w:rsidRDefault="00392618" w:rsidP="00392618">
                          <w:pPr>
                            <w:rPr>
                              <w:rFonts w:ascii="Verdana" w:eastAsia="Times New Roman" w:hAnsi="Verdana" w:cs="Arial"/>
                              <w:color w:val="767171" w:themeColor="background2" w:themeShade="80"/>
                              <w:sz w:val="14"/>
                              <w:szCs w:val="16"/>
                              <w:lang w:eastAsia="es-CO"/>
                            </w:rPr>
                          </w:pPr>
                          <w:r w:rsidRPr="00B108CF">
                            <w:rPr>
                              <w:rFonts w:ascii="Verdana" w:eastAsia="Times New Roman" w:hAnsi="Verdana" w:cs="Arial"/>
                              <w:b/>
                              <w:bCs/>
                              <w:color w:val="767171" w:themeColor="background2" w:themeShade="80"/>
                              <w:sz w:val="14"/>
                              <w:szCs w:val="16"/>
                              <w:lang w:eastAsia="es-CO"/>
                            </w:rPr>
                            <w:t>Conmutador: </w:t>
                          </w:r>
                          <w:r w:rsidRPr="00B108CF">
                            <w:rPr>
                              <w:rFonts w:ascii="Verdana" w:eastAsia="Times New Roman" w:hAnsi="Verdana" w:cs="Arial"/>
                              <w:color w:val="767171" w:themeColor="background2" w:themeShade="80"/>
                              <w:sz w:val="14"/>
                              <w:szCs w:val="16"/>
                              <w:lang w:eastAsia="es-CO"/>
                            </w:rPr>
                            <w:t>(+601) 307 8038</w:t>
                          </w:r>
                        </w:p>
                        <w:p w14:paraId="0897E3C7" w14:textId="78445C71" w:rsidR="00392618" w:rsidRPr="00B108CF" w:rsidRDefault="00392618" w:rsidP="00392618">
                          <w:pPr>
                            <w:rPr>
                              <w:rFonts w:ascii="Verdana" w:eastAsia="Times New Roman" w:hAnsi="Verdana" w:cs="Arial"/>
                              <w:color w:val="767171" w:themeColor="background2" w:themeShade="80"/>
                              <w:sz w:val="14"/>
                              <w:szCs w:val="16"/>
                              <w:lang w:eastAsia="es-CO"/>
                            </w:rPr>
                          </w:pPr>
                          <w:r w:rsidRPr="00B108CF">
                            <w:rPr>
                              <w:rFonts w:ascii="Verdana" w:eastAsia="Times New Roman" w:hAnsi="Verdana" w:cs="Arial"/>
                              <w:b/>
                              <w:bCs/>
                              <w:color w:val="767171" w:themeColor="background2" w:themeShade="80"/>
                              <w:sz w:val="14"/>
                              <w:szCs w:val="16"/>
                              <w:lang w:eastAsia="es-CO"/>
                            </w:rPr>
                            <w:t>Línea gratuita: </w:t>
                          </w:r>
                          <w:r w:rsidRPr="00B108CF">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B108CF" w:rsidRDefault="00AF746E" w:rsidP="00392618">
                    <w:pPr>
                      <w:rPr>
                        <w:rFonts w:ascii="Verdana" w:eastAsia="Times New Roman" w:hAnsi="Verdana" w:cs="Arial"/>
                        <w:bCs/>
                        <w:color w:val="767171" w:themeColor="background2" w:themeShade="80"/>
                        <w:sz w:val="14"/>
                        <w:szCs w:val="16"/>
                        <w:lang w:eastAsia="es-CO"/>
                      </w:rPr>
                    </w:pPr>
                    <w:r w:rsidRPr="00B108CF">
                      <w:rPr>
                        <w:rFonts w:ascii="Verdana" w:eastAsia="Times New Roman" w:hAnsi="Verdana" w:cs="Arial"/>
                        <w:b/>
                        <w:bCs/>
                        <w:color w:val="767171" w:themeColor="background2" w:themeShade="80"/>
                        <w:sz w:val="14"/>
                        <w:szCs w:val="16"/>
                        <w:lang w:eastAsia="es-CO"/>
                      </w:rPr>
                      <w:t>Dirección:</w:t>
                    </w:r>
                    <w:r w:rsidRPr="00B108CF">
                      <w:rPr>
                        <w:rFonts w:ascii="Verdana" w:eastAsia="Times New Roman" w:hAnsi="Verdana" w:cs="Arial"/>
                        <w:bCs/>
                        <w:color w:val="767171" w:themeColor="background2" w:themeShade="80"/>
                        <w:sz w:val="14"/>
                        <w:szCs w:val="16"/>
                        <w:lang w:eastAsia="es-CO"/>
                      </w:rPr>
                      <w:t xml:space="preserve"> </w:t>
                    </w:r>
                    <w:r w:rsidR="00392618" w:rsidRPr="00B108CF">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B108CF" w:rsidRDefault="00392618" w:rsidP="00392618">
                    <w:pPr>
                      <w:rPr>
                        <w:rFonts w:ascii="Verdana" w:eastAsia="Times New Roman" w:hAnsi="Verdana" w:cs="Arial"/>
                        <w:color w:val="767171" w:themeColor="background2" w:themeShade="80"/>
                        <w:sz w:val="14"/>
                        <w:szCs w:val="16"/>
                        <w:lang w:eastAsia="es-CO"/>
                      </w:rPr>
                    </w:pPr>
                    <w:r w:rsidRPr="00B108CF">
                      <w:rPr>
                        <w:rFonts w:ascii="Verdana" w:eastAsia="Times New Roman" w:hAnsi="Verdana" w:cs="Arial"/>
                        <w:b/>
                        <w:bCs/>
                        <w:color w:val="767171" w:themeColor="background2" w:themeShade="80"/>
                        <w:sz w:val="14"/>
                        <w:szCs w:val="16"/>
                        <w:lang w:eastAsia="es-CO"/>
                      </w:rPr>
                      <w:t>Conmutador: </w:t>
                    </w:r>
                    <w:r w:rsidRPr="00B108CF">
                      <w:rPr>
                        <w:rFonts w:ascii="Verdana" w:eastAsia="Times New Roman" w:hAnsi="Verdana" w:cs="Arial"/>
                        <w:color w:val="767171" w:themeColor="background2" w:themeShade="80"/>
                        <w:sz w:val="14"/>
                        <w:szCs w:val="16"/>
                        <w:lang w:eastAsia="es-CO"/>
                      </w:rPr>
                      <w:t>(+601) 307 8038</w:t>
                    </w:r>
                  </w:p>
                  <w:p w14:paraId="0897E3C7" w14:textId="78445C71" w:rsidR="00392618" w:rsidRPr="00B108CF" w:rsidRDefault="00392618" w:rsidP="00392618">
                    <w:pPr>
                      <w:rPr>
                        <w:rFonts w:ascii="Verdana" w:eastAsia="Times New Roman" w:hAnsi="Verdana" w:cs="Arial"/>
                        <w:color w:val="767171" w:themeColor="background2" w:themeShade="80"/>
                        <w:sz w:val="14"/>
                        <w:szCs w:val="16"/>
                        <w:lang w:eastAsia="es-CO"/>
                      </w:rPr>
                    </w:pPr>
                    <w:r w:rsidRPr="00B108CF">
                      <w:rPr>
                        <w:rFonts w:ascii="Verdana" w:eastAsia="Times New Roman" w:hAnsi="Verdana" w:cs="Arial"/>
                        <w:b/>
                        <w:bCs/>
                        <w:color w:val="767171" w:themeColor="background2" w:themeShade="80"/>
                        <w:sz w:val="14"/>
                        <w:szCs w:val="16"/>
                        <w:lang w:eastAsia="es-CO"/>
                      </w:rPr>
                      <w:t>Línea gratuita: </w:t>
                    </w:r>
                    <w:r w:rsidRPr="00B108CF">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0D4653DA" w:rsidR="00392618" w:rsidRPr="00B108CF" w:rsidRDefault="00392618" w:rsidP="00392618">
                          <w:pPr>
                            <w:pStyle w:val="NormalWeb"/>
                            <w:rPr>
                              <w:rFonts w:ascii="Verdana" w:hAnsi="Verdana" w:cs="Arial"/>
                              <w:b/>
                              <w:bCs/>
                              <w:color w:val="595959" w:themeColor="text1" w:themeTint="A6"/>
                              <w:kern w:val="24"/>
                              <w:sz w:val="12"/>
                              <w:szCs w:val="14"/>
                            </w:rPr>
                          </w:pPr>
                          <w:r w:rsidRPr="00B108CF">
                            <w:rPr>
                              <w:rFonts w:ascii="Verdana" w:hAnsi="Verdana" w:cs="Arial"/>
                              <w:b/>
                              <w:bCs/>
                              <w:color w:val="595959" w:themeColor="text1" w:themeTint="A6"/>
                              <w:kern w:val="24"/>
                              <w:sz w:val="12"/>
                              <w:szCs w:val="14"/>
                            </w:rPr>
                            <w:t xml:space="preserve">Código: </w:t>
                          </w:r>
                          <w:r w:rsidR="00CF5B32" w:rsidRPr="00B108CF">
                            <w:rPr>
                              <w:rFonts w:ascii="Verdana" w:hAnsi="Verdana" w:cs="Arial"/>
                              <w:b/>
                              <w:bCs/>
                              <w:color w:val="595959"/>
                              <w:kern w:val="24"/>
                              <w:sz w:val="12"/>
                              <w:szCs w:val="14"/>
                            </w:rPr>
                            <w:t>PRT-GFI-320-001</w:t>
                          </w:r>
                        </w:p>
                        <w:p w14:paraId="0A6EE982" w14:textId="5C2DF771" w:rsidR="00392618" w:rsidRPr="00B108CF" w:rsidRDefault="00635A9D" w:rsidP="00392618">
                          <w:pPr>
                            <w:pStyle w:val="NormalWeb"/>
                            <w:rPr>
                              <w:rFonts w:ascii="Verdana" w:hAnsi="Verdana" w:cs="Arial"/>
                              <w:bCs/>
                              <w:color w:val="595959" w:themeColor="text1" w:themeTint="A6"/>
                              <w:kern w:val="24"/>
                              <w:sz w:val="12"/>
                              <w:szCs w:val="14"/>
                            </w:rPr>
                          </w:pPr>
                          <w:r w:rsidRPr="00B108CF">
                            <w:rPr>
                              <w:rFonts w:ascii="Verdana" w:hAnsi="Verdana" w:cs="Arial"/>
                              <w:bCs/>
                              <w:color w:val="595959" w:themeColor="text1" w:themeTint="A6"/>
                              <w:kern w:val="24"/>
                              <w:sz w:val="12"/>
                              <w:szCs w:val="14"/>
                            </w:rPr>
                            <w:t xml:space="preserve">Fecha aprobación: </w:t>
                          </w:r>
                          <w:r w:rsidR="00CF5B32" w:rsidRPr="00B108CF">
                            <w:rPr>
                              <w:rFonts w:ascii="Verdana" w:hAnsi="Verdana" w:cs="Arial"/>
                              <w:bCs/>
                              <w:color w:val="595959" w:themeColor="text1" w:themeTint="A6"/>
                              <w:kern w:val="24"/>
                              <w:sz w:val="12"/>
                              <w:szCs w:val="14"/>
                            </w:rPr>
                            <w:t>1</w:t>
                          </w:r>
                          <w:r w:rsidR="000C1F6E">
                            <w:rPr>
                              <w:rFonts w:ascii="Verdana" w:hAnsi="Verdana" w:cs="Arial"/>
                              <w:bCs/>
                              <w:color w:val="595959" w:themeColor="text1" w:themeTint="A6"/>
                              <w:kern w:val="24"/>
                              <w:sz w:val="12"/>
                              <w:szCs w:val="14"/>
                            </w:rPr>
                            <w:t>9</w:t>
                          </w:r>
                          <w:r w:rsidR="00CF5B32" w:rsidRPr="00B108CF">
                            <w:rPr>
                              <w:rFonts w:ascii="Verdana" w:hAnsi="Verdana" w:cs="Arial"/>
                              <w:bCs/>
                              <w:color w:val="595959" w:themeColor="text1" w:themeTint="A6"/>
                              <w:kern w:val="24"/>
                              <w:sz w:val="12"/>
                              <w:szCs w:val="14"/>
                            </w:rPr>
                            <w:t>/09/2024</w:t>
                          </w:r>
                        </w:p>
                        <w:p w14:paraId="5C00C4CA" w14:textId="3ADD2F3A" w:rsidR="00392618" w:rsidRPr="00B108CF" w:rsidRDefault="00CF5B32" w:rsidP="00392618">
                          <w:pPr>
                            <w:pStyle w:val="NormalWeb"/>
                            <w:rPr>
                              <w:rFonts w:ascii="Verdana" w:hAnsi="Verdana" w:cs="Arial"/>
                              <w:bCs/>
                              <w:color w:val="595959" w:themeColor="text1" w:themeTint="A6"/>
                              <w:kern w:val="24"/>
                              <w:sz w:val="12"/>
                              <w:szCs w:val="14"/>
                            </w:rPr>
                          </w:pPr>
                          <w:r w:rsidRPr="00B108CF">
                            <w:rPr>
                              <w:rFonts w:ascii="Verdana" w:hAnsi="Verdana" w:cs="Arial"/>
                              <w:bCs/>
                              <w:color w:val="595959" w:themeColor="text1" w:themeTint="A6"/>
                              <w:kern w:val="24"/>
                              <w:sz w:val="12"/>
                              <w:szCs w:val="14"/>
                            </w:rPr>
                            <w:t>Versión: 09</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460A0BAE" w14:textId="0D4653DA" w:rsidR="00392618" w:rsidRPr="00B108CF" w:rsidRDefault="00392618" w:rsidP="00392618">
                    <w:pPr>
                      <w:pStyle w:val="NormalWeb"/>
                      <w:rPr>
                        <w:rFonts w:ascii="Verdana" w:hAnsi="Verdana" w:cs="Arial"/>
                        <w:b/>
                        <w:bCs/>
                        <w:color w:val="595959" w:themeColor="text1" w:themeTint="A6"/>
                        <w:kern w:val="24"/>
                        <w:sz w:val="12"/>
                        <w:szCs w:val="14"/>
                      </w:rPr>
                    </w:pPr>
                    <w:r w:rsidRPr="00B108CF">
                      <w:rPr>
                        <w:rFonts w:ascii="Verdana" w:hAnsi="Verdana" w:cs="Arial"/>
                        <w:b/>
                        <w:bCs/>
                        <w:color w:val="595959" w:themeColor="text1" w:themeTint="A6"/>
                        <w:kern w:val="24"/>
                        <w:sz w:val="12"/>
                        <w:szCs w:val="14"/>
                      </w:rPr>
                      <w:t xml:space="preserve">Código: </w:t>
                    </w:r>
                    <w:r w:rsidR="00CF5B32" w:rsidRPr="00B108CF">
                      <w:rPr>
                        <w:rFonts w:ascii="Verdana" w:hAnsi="Verdana" w:cs="Arial"/>
                        <w:b/>
                        <w:bCs/>
                        <w:color w:val="595959"/>
                        <w:kern w:val="24"/>
                        <w:sz w:val="12"/>
                        <w:szCs w:val="14"/>
                      </w:rPr>
                      <w:t>PRT-GFI-320-001</w:t>
                    </w:r>
                  </w:p>
                  <w:p w14:paraId="0A6EE982" w14:textId="5C2DF771" w:rsidR="00392618" w:rsidRPr="00B108CF" w:rsidRDefault="00635A9D" w:rsidP="00392618">
                    <w:pPr>
                      <w:pStyle w:val="NormalWeb"/>
                      <w:rPr>
                        <w:rFonts w:ascii="Verdana" w:hAnsi="Verdana" w:cs="Arial"/>
                        <w:bCs/>
                        <w:color w:val="595959" w:themeColor="text1" w:themeTint="A6"/>
                        <w:kern w:val="24"/>
                        <w:sz w:val="12"/>
                        <w:szCs w:val="14"/>
                      </w:rPr>
                    </w:pPr>
                    <w:r w:rsidRPr="00B108CF">
                      <w:rPr>
                        <w:rFonts w:ascii="Verdana" w:hAnsi="Verdana" w:cs="Arial"/>
                        <w:bCs/>
                        <w:color w:val="595959" w:themeColor="text1" w:themeTint="A6"/>
                        <w:kern w:val="24"/>
                        <w:sz w:val="12"/>
                        <w:szCs w:val="14"/>
                      </w:rPr>
                      <w:t xml:space="preserve">Fecha aprobación: </w:t>
                    </w:r>
                    <w:r w:rsidR="00CF5B32" w:rsidRPr="00B108CF">
                      <w:rPr>
                        <w:rFonts w:ascii="Verdana" w:hAnsi="Verdana" w:cs="Arial"/>
                        <w:bCs/>
                        <w:color w:val="595959" w:themeColor="text1" w:themeTint="A6"/>
                        <w:kern w:val="24"/>
                        <w:sz w:val="12"/>
                        <w:szCs w:val="14"/>
                      </w:rPr>
                      <w:t>1</w:t>
                    </w:r>
                    <w:r w:rsidR="000C1F6E">
                      <w:rPr>
                        <w:rFonts w:ascii="Verdana" w:hAnsi="Verdana" w:cs="Arial"/>
                        <w:bCs/>
                        <w:color w:val="595959" w:themeColor="text1" w:themeTint="A6"/>
                        <w:kern w:val="24"/>
                        <w:sz w:val="12"/>
                        <w:szCs w:val="14"/>
                      </w:rPr>
                      <w:t>9</w:t>
                    </w:r>
                    <w:r w:rsidR="00CF5B32" w:rsidRPr="00B108CF">
                      <w:rPr>
                        <w:rFonts w:ascii="Verdana" w:hAnsi="Verdana" w:cs="Arial"/>
                        <w:bCs/>
                        <w:color w:val="595959" w:themeColor="text1" w:themeTint="A6"/>
                        <w:kern w:val="24"/>
                        <w:sz w:val="12"/>
                        <w:szCs w:val="14"/>
                      </w:rPr>
                      <w:t>/09/2024</w:t>
                    </w:r>
                  </w:p>
                  <w:p w14:paraId="5C00C4CA" w14:textId="3ADD2F3A" w:rsidR="00392618" w:rsidRPr="00B108CF" w:rsidRDefault="00CF5B32" w:rsidP="00392618">
                    <w:pPr>
                      <w:pStyle w:val="NormalWeb"/>
                      <w:rPr>
                        <w:rFonts w:ascii="Verdana" w:hAnsi="Verdana" w:cs="Arial"/>
                        <w:bCs/>
                        <w:color w:val="595959" w:themeColor="text1" w:themeTint="A6"/>
                        <w:kern w:val="24"/>
                        <w:sz w:val="12"/>
                        <w:szCs w:val="14"/>
                      </w:rPr>
                    </w:pPr>
                    <w:r w:rsidRPr="00B108CF">
                      <w:rPr>
                        <w:rFonts w:ascii="Verdana" w:hAnsi="Verdana" w:cs="Arial"/>
                        <w:bCs/>
                        <w:color w:val="595959" w:themeColor="text1" w:themeTint="A6"/>
                        <w:kern w:val="24"/>
                        <w:sz w:val="12"/>
                        <w:szCs w:val="14"/>
                      </w:rPr>
                      <w:t>Versión: 09</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9F7B3" w14:textId="77777777" w:rsidR="008F687C" w:rsidRDefault="008F687C" w:rsidP="008B51F5">
      <w:r>
        <w:separator/>
      </w:r>
    </w:p>
  </w:footnote>
  <w:footnote w:type="continuationSeparator" w:id="0">
    <w:p w14:paraId="1E8BE0AD" w14:textId="77777777" w:rsidR="008F687C" w:rsidRDefault="008F687C" w:rsidP="008B5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0DFA76AE" w:rsidR="006D1FE4" w:rsidRDefault="002A1D07"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11A20356">
              <wp:simplePos x="0" y="0"/>
              <wp:positionH relativeFrom="margin">
                <wp:posOffset>815341</wp:posOffset>
              </wp:positionH>
              <wp:positionV relativeFrom="paragraph">
                <wp:posOffset>24765</wp:posOffset>
              </wp:positionV>
              <wp:extent cx="3905250" cy="628650"/>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3905250" cy="628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E91C" w14:textId="5D013A5F" w:rsidR="00CF5B32" w:rsidRPr="00B108CF" w:rsidRDefault="00B108CF" w:rsidP="00CF5B32">
                          <w:pPr>
                            <w:jc w:val="center"/>
                            <w:rPr>
                              <w:rFonts w:ascii="Verdana" w:hAnsi="Verdana"/>
                              <w:b/>
                              <w:color w:val="0070C0"/>
                              <w:sz w:val="22"/>
                              <w:szCs w:val="22"/>
                              <w:lang w:val="es-ES"/>
                            </w:rPr>
                          </w:pPr>
                          <w:r w:rsidRPr="00B108CF">
                            <w:rPr>
                              <w:rFonts w:ascii="Verdana" w:hAnsi="Verdana"/>
                              <w:b/>
                              <w:color w:val="0070C0"/>
                              <w:sz w:val="22"/>
                              <w:szCs w:val="22"/>
                              <w:lang w:val="es-ES"/>
                            </w:rPr>
                            <w:t>PROTOCOLO SEGURIDAD MANEJO Y CUSTODIA DE LOS RECURSOS DE LA SUPERVIGILANCIA</w:t>
                          </w:r>
                        </w:p>
                        <w:p w14:paraId="7F1FEAC5" w14:textId="4FFEA201"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64.2pt;margin-top:1.95pt;width:307.5pt;height:4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kckAIAAJUFAAAOAAAAZHJzL2Uyb0RvYy54bWysVNtOGzEQfa/Uf7D8XjYXoBCxQWkQVSVU&#10;UKHi2fHaZFWvx7WdZOnX99i7uZTyQtWX3bHnzIznzOXism0MWysfarIlHx4NOFNWUlXbp5J/f7j+&#10;cMZZiMJWwpBVJX9WgV9O37+72LiJGtGSTKU8gxMbJhtX8mWMblIUQS5VI8IROWWh1OQbEXH0T0Xl&#10;xQbeG1OMBoPTYkO+cp6kCgG3V52ST7N/rZWMt1oHFZkpOd4W89fn7yJ9i+mFmDx54Za17J8h/uEV&#10;jagtgu5cXYko2MrXf7lqaukpkI5HkpqCtK6lyjkgm+HgRTb3S+FUzgXkBLejKfw/t/Lr+s6zuir5&#10;aDzmzIoGRZqvROWJVYpF1UZiSQWiNi5MgL93sIjtJ2pR8O19wGXKv9W+SX9kxqAH5c87muGLSVyO&#10;zwcnoxOoJHSno7NTyHBf7K2dD/GzooYloeQeZczsivVNiB10C0nBApm6uq6NyYfUOmpuPFsLFN3E&#10;/EY4/wNlLNsg+Bihk5GlZN55NjbdqNw8fbiUeZdhluKzUQlj7DelQV5O9JXYQkpld/EzOqE0Qr3F&#10;sMfvX/UW4y4PWOTIZOPOuKkt+Zx9nrY9ZdWPLWW6w6M2B3knMbaLtu+IBVXPaAhP3WwFJ69rVO1G&#10;hHgnPIYJhcaCiLf4aENgnXqJsyX5X6/dJzx6HFrONhjOkoefK+EVZ+aLRfefD4+P0zTnw/HJxxEO&#10;/lCzONTYVTMntMIQq8jJLCZ8NFtRe2oesUdmKSpUwkrELnncivPYrQzsIalmswzC/DoRb+y9k8l1&#10;ojf15EP7KLzrGzeNz1fajrGYvOjfDpssLc1WkXSdmzsR3LHaE4/Zz+PR76m0XA7PGbXfptPfAAAA&#10;//8DAFBLAwQUAAYACAAAACEAKdPaWuAAAAAJAQAADwAAAGRycy9kb3ducmV2LnhtbEyPy07DMBBF&#10;90j8gzWV2CDqkLS0DXEqhHhI7NrwEDs3niYR8TiK3ST8PcMKlkf36s6ZbDvZVgzY+8aRgut5BAKp&#10;dKahSsFr8Xi1BuGDJqNbR6jgGz1s8/OzTKfGjbTDYR8qwSPkU62gDqFLpfRljVb7ueuQODu63urA&#10;2FfS9HrkcdvKOIpupNUN8YVad3hfY/m1P1kFn5fVx4ufnt7GZJl0D89DsXo3hVIXs+nuFkTAKfyV&#10;4Vef1SFnp4M7kfGiZY7XC64qSDYgOF8tEuYDB1G8AZln8v8H+Q8AAAD//wMAUEsBAi0AFAAGAAgA&#10;AAAhALaDOJL+AAAA4QEAABMAAAAAAAAAAAAAAAAAAAAAAFtDb250ZW50X1R5cGVzXS54bWxQSwEC&#10;LQAUAAYACAAAACEAOP0h/9YAAACUAQAACwAAAAAAAAAAAAAAAAAvAQAAX3JlbHMvLnJlbHNQSwEC&#10;LQAUAAYACAAAACEAUeqZHJACAACVBQAADgAAAAAAAAAAAAAAAAAuAgAAZHJzL2Uyb0RvYy54bWxQ&#10;SwECLQAUAAYACAAAACEAKdPaWuAAAAAJAQAADwAAAAAAAAAAAAAAAADqBAAAZHJzL2Rvd25yZXYu&#10;eG1sUEsFBgAAAAAEAAQA8wAAAPcFAAAAAA==&#10;" fillcolor="white [3201]" stroked="f" strokeweight=".5pt">
              <v:textbox>
                <w:txbxContent>
                  <w:p w14:paraId="7699E91C" w14:textId="5D013A5F" w:rsidR="00CF5B32" w:rsidRPr="00B108CF" w:rsidRDefault="00B108CF" w:rsidP="00CF5B32">
                    <w:pPr>
                      <w:jc w:val="center"/>
                      <w:rPr>
                        <w:rFonts w:ascii="Verdana" w:hAnsi="Verdana"/>
                        <w:b/>
                        <w:color w:val="0070C0"/>
                        <w:sz w:val="22"/>
                        <w:szCs w:val="22"/>
                        <w:lang w:val="es-ES"/>
                      </w:rPr>
                    </w:pPr>
                    <w:r w:rsidRPr="00B108CF">
                      <w:rPr>
                        <w:rFonts w:ascii="Verdana" w:hAnsi="Verdana"/>
                        <w:b/>
                        <w:color w:val="0070C0"/>
                        <w:sz w:val="22"/>
                        <w:szCs w:val="22"/>
                        <w:lang w:val="es-ES"/>
                      </w:rPr>
                      <w:t>PROTOCOLO SEGURIDAD MANEJO Y CUSTODIA DE LOS RECURSOS DE LA SUPERVIGILANCIA</w:t>
                    </w:r>
                  </w:p>
                  <w:p w14:paraId="7F1FEAC5" w14:textId="4FFEA201"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79F1788B" w14:textId="6F904D82" w:rsidR="006D1FE4" w:rsidRDefault="006D1FE4" w:rsidP="000F5FD1">
    <w:pPr>
      <w:pStyle w:val="Encabezado"/>
      <w:tabs>
        <w:tab w:val="clear" w:pos="4419"/>
        <w:tab w:val="clear" w:pos="8838"/>
        <w:tab w:val="left" w:pos="7275"/>
      </w:tabs>
      <w:ind w:left="-851"/>
      <w:jc w:val="right"/>
    </w:pP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D5A7802"/>
    <w:name w:val="WW8Num1"/>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A01458"/>
    <w:multiLevelType w:val="hybridMultilevel"/>
    <w:tmpl w:val="516AC5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5971763"/>
    <w:multiLevelType w:val="multilevel"/>
    <w:tmpl w:val="DEAAA11C"/>
    <w:lvl w:ilvl="0">
      <w:start w:val="2"/>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8315CA7"/>
    <w:multiLevelType w:val="hybridMultilevel"/>
    <w:tmpl w:val="92AC624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0934E5"/>
    <w:multiLevelType w:val="hybridMultilevel"/>
    <w:tmpl w:val="BDAAAB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88310BA"/>
    <w:multiLevelType w:val="hybridMultilevel"/>
    <w:tmpl w:val="BB58C232"/>
    <w:lvl w:ilvl="0" w:tplc="13D638BC">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3" w15:restartNumberingAfterBreak="0">
    <w:nsid w:val="58A50738"/>
    <w:multiLevelType w:val="hybridMultilevel"/>
    <w:tmpl w:val="6492A534"/>
    <w:lvl w:ilvl="0" w:tplc="13D638BC">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DA35A4E"/>
    <w:multiLevelType w:val="multilevel"/>
    <w:tmpl w:val="75B4F1D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num w:numId="1">
    <w:abstractNumId w:val="14"/>
  </w:num>
  <w:num w:numId="2">
    <w:abstractNumId w:val="3"/>
  </w:num>
  <w:num w:numId="3">
    <w:abstractNumId w:val="2"/>
  </w:num>
  <w:num w:numId="4">
    <w:abstractNumId w:val="12"/>
  </w:num>
  <w:num w:numId="5">
    <w:abstractNumId w:val="8"/>
  </w:num>
  <w:num w:numId="6">
    <w:abstractNumId w:val="4"/>
  </w:num>
  <w:num w:numId="7">
    <w:abstractNumId w:val="5"/>
  </w:num>
  <w:num w:numId="8">
    <w:abstractNumId w:val="11"/>
  </w:num>
  <w:num w:numId="9">
    <w:abstractNumId w:val="15"/>
  </w:num>
  <w:num w:numId="10">
    <w:abstractNumId w:val="0"/>
  </w:num>
  <w:num w:numId="11">
    <w:abstractNumId w:val="1"/>
  </w:num>
  <w:num w:numId="12">
    <w:abstractNumId w:val="9"/>
  </w:num>
  <w:num w:numId="13">
    <w:abstractNumId w:val="7"/>
  </w:num>
  <w:num w:numId="14">
    <w:abstractNumId w:val="13"/>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71F65"/>
    <w:rsid w:val="000C1F6E"/>
    <w:rsid w:val="000C329A"/>
    <w:rsid w:val="000F5FD1"/>
    <w:rsid w:val="00115C16"/>
    <w:rsid w:val="001359AE"/>
    <w:rsid w:val="00137E8A"/>
    <w:rsid w:val="001D7CFC"/>
    <w:rsid w:val="001F1E8E"/>
    <w:rsid w:val="00252B69"/>
    <w:rsid w:val="002A1D07"/>
    <w:rsid w:val="002F1AF1"/>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712D"/>
    <w:rsid w:val="005F3176"/>
    <w:rsid w:val="00615F4A"/>
    <w:rsid w:val="00624E1B"/>
    <w:rsid w:val="00635A9D"/>
    <w:rsid w:val="00691730"/>
    <w:rsid w:val="0069785C"/>
    <w:rsid w:val="006A0D58"/>
    <w:rsid w:val="006C2ED6"/>
    <w:rsid w:val="006D1FE4"/>
    <w:rsid w:val="006D4BAB"/>
    <w:rsid w:val="006E2693"/>
    <w:rsid w:val="00740CD4"/>
    <w:rsid w:val="00752BBC"/>
    <w:rsid w:val="007B7197"/>
    <w:rsid w:val="007F02DE"/>
    <w:rsid w:val="008A795A"/>
    <w:rsid w:val="008B3812"/>
    <w:rsid w:val="008B51F5"/>
    <w:rsid w:val="008D0C22"/>
    <w:rsid w:val="008F687C"/>
    <w:rsid w:val="00901B26"/>
    <w:rsid w:val="00950324"/>
    <w:rsid w:val="009821FB"/>
    <w:rsid w:val="00A2048E"/>
    <w:rsid w:val="00A30CF1"/>
    <w:rsid w:val="00A50418"/>
    <w:rsid w:val="00A74B90"/>
    <w:rsid w:val="00A75278"/>
    <w:rsid w:val="00AA3F20"/>
    <w:rsid w:val="00AF746E"/>
    <w:rsid w:val="00B108CF"/>
    <w:rsid w:val="00B42D45"/>
    <w:rsid w:val="00B663D7"/>
    <w:rsid w:val="00B91859"/>
    <w:rsid w:val="00BF513B"/>
    <w:rsid w:val="00C40277"/>
    <w:rsid w:val="00C876D6"/>
    <w:rsid w:val="00C96E05"/>
    <w:rsid w:val="00C96E6E"/>
    <w:rsid w:val="00CF5B32"/>
    <w:rsid w:val="00D1639C"/>
    <w:rsid w:val="00D217DE"/>
    <w:rsid w:val="00D218F3"/>
    <w:rsid w:val="00D2621A"/>
    <w:rsid w:val="00D71437"/>
    <w:rsid w:val="00D83FF3"/>
    <w:rsid w:val="00D840C6"/>
    <w:rsid w:val="00D94E09"/>
    <w:rsid w:val="00DB5EEB"/>
    <w:rsid w:val="00DD784F"/>
    <w:rsid w:val="00DE3E38"/>
    <w:rsid w:val="00DE630B"/>
    <w:rsid w:val="00E1130F"/>
    <w:rsid w:val="00E15169"/>
    <w:rsid w:val="00E62C73"/>
    <w:rsid w:val="00EA2436"/>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CF5B32"/>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paragraph" w:styleId="Ttulo7">
    <w:name w:val="heading 7"/>
    <w:basedOn w:val="Normal"/>
    <w:next w:val="Normal"/>
    <w:link w:val="Ttulo7Car"/>
    <w:uiPriority w:val="9"/>
    <w:semiHidden/>
    <w:unhideWhenUsed/>
    <w:qFormat/>
    <w:rsid w:val="00CF5B3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3Car">
    <w:name w:val="Título 3 Car"/>
    <w:basedOn w:val="Fuentedeprrafopredeter"/>
    <w:link w:val="Ttulo3"/>
    <w:uiPriority w:val="9"/>
    <w:semiHidden/>
    <w:rsid w:val="00CF5B32"/>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CF5B32"/>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954B9-EF0F-43CD-8961-C9BFD056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8218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3</cp:revision>
  <cp:lastPrinted>2023-06-29T15:02:00Z</cp:lastPrinted>
  <dcterms:created xsi:type="dcterms:W3CDTF">2024-09-18T15:18:00Z</dcterms:created>
  <dcterms:modified xsi:type="dcterms:W3CDTF">2024-09-19T12:50:00Z</dcterms:modified>
</cp:coreProperties>
</file>