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1ADFF" w14:textId="041644D3" w:rsidR="00BC5368" w:rsidRPr="00652941" w:rsidRDefault="00BC5368" w:rsidP="00BC5368">
      <w:pPr>
        <w:autoSpaceDE w:val="0"/>
        <w:jc w:val="both"/>
        <w:rPr>
          <w:rFonts w:ascii="Verdana" w:eastAsia="Times New Roman" w:hAnsi="Verdana" w:cs="Arial"/>
          <w:b/>
          <w:color w:val="000000"/>
          <w:sz w:val="20"/>
          <w:szCs w:val="20"/>
          <w:lang w:val="es-ES" w:eastAsia="es-ES"/>
        </w:rPr>
      </w:pPr>
    </w:p>
    <w:p w14:paraId="792B84FE" w14:textId="77777777" w:rsidR="006D4499" w:rsidRPr="006D4499" w:rsidRDefault="006D4499" w:rsidP="006D4499">
      <w:pPr>
        <w:spacing w:line="360" w:lineRule="auto"/>
        <w:jc w:val="both"/>
        <w:rPr>
          <w:rFonts w:ascii="Verdana" w:eastAsia="Times New Roman" w:hAnsi="Verdana" w:cs="Arial"/>
          <w:color w:val="000000"/>
          <w:sz w:val="22"/>
          <w:szCs w:val="22"/>
        </w:rPr>
      </w:pPr>
      <w:r w:rsidRPr="006D4499">
        <w:rPr>
          <w:rFonts w:ascii="Verdana" w:eastAsia="Times New Roman" w:hAnsi="Verdana" w:cs="Arial"/>
          <w:b/>
          <w:color w:val="000000"/>
          <w:sz w:val="22"/>
          <w:szCs w:val="22"/>
        </w:rPr>
        <w:t>Objetivo:</w:t>
      </w:r>
      <w:r w:rsidRPr="006D4499">
        <w:rPr>
          <w:rFonts w:ascii="Verdana" w:eastAsia="Times New Roman" w:hAnsi="Verdana" w:cs="Arial"/>
          <w:color w:val="000000"/>
          <w:sz w:val="22"/>
          <w:szCs w:val="22"/>
        </w:rPr>
        <w:t xml:space="preserve"> Recomendar y orientar a los usuarios en lo referente a los pasos para gestionar los reclamos que existan frente a los servicios de vigilancia y seguridad privada, sin perjuicio del artículo 23 de la Constitución Política de Colombia en concordancia con él la ley 1755 de 2015, de tal forma que, para agilizar los procesos, estos último</w:t>
      </w:r>
      <w:bookmarkStart w:id="0" w:name="_GoBack"/>
      <w:bookmarkEnd w:id="0"/>
      <w:r w:rsidRPr="006D4499">
        <w:rPr>
          <w:rFonts w:ascii="Verdana" w:eastAsia="Times New Roman" w:hAnsi="Verdana" w:cs="Arial"/>
          <w:color w:val="000000"/>
          <w:sz w:val="22"/>
          <w:szCs w:val="22"/>
        </w:rPr>
        <w:t>s realicen el agotamiento de los reclamos en primera instancia. En el caso de que el servicio vigilado no de respuesta oportuna o satisfactoria, el usuario debe acudir a la Superintendencia de Vigilancia y Seguridad Privada para que dentro de su competencia de inspección, control y vigilancia verifique las presuntas irregularidades y falencias en que puedan incurrir estos servicios.</w:t>
      </w:r>
    </w:p>
    <w:p w14:paraId="159A08AD" w14:textId="77777777" w:rsidR="006D4499" w:rsidRPr="006D4499" w:rsidRDefault="006D4499" w:rsidP="006D4499">
      <w:pPr>
        <w:spacing w:line="360" w:lineRule="auto"/>
        <w:jc w:val="center"/>
        <w:rPr>
          <w:rFonts w:ascii="Verdana" w:eastAsia="Times New Roman" w:hAnsi="Verdana" w:cs="Arial"/>
          <w:color w:val="000000"/>
          <w:sz w:val="22"/>
          <w:szCs w:val="22"/>
        </w:rPr>
      </w:pPr>
    </w:p>
    <w:p w14:paraId="514B86D3" w14:textId="0D149255" w:rsidR="006D4499" w:rsidRPr="006D4499" w:rsidRDefault="006D4499" w:rsidP="006D4499">
      <w:pPr>
        <w:spacing w:line="360" w:lineRule="auto"/>
        <w:jc w:val="both"/>
        <w:rPr>
          <w:rFonts w:ascii="Verdana" w:eastAsia="Times New Roman" w:hAnsi="Verdana" w:cs="Arial"/>
          <w:b/>
          <w:color w:val="000000"/>
          <w:sz w:val="22"/>
          <w:szCs w:val="22"/>
        </w:rPr>
      </w:pPr>
      <w:r>
        <w:rPr>
          <w:rFonts w:ascii="Verdana" w:eastAsia="Times New Roman" w:hAnsi="Verdana" w:cs="Arial"/>
          <w:b/>
          <w:color w:val="000000"/>
          <w:sz w:val="22"/>
          <w:szCs w:val="22"/>
        </w:rPr>
        <w:t>Objetivo especí</w:t>
      </w:r>
      <w:r w:rsidRPr="006D4499">
        <w:rPr>
          <w:rFonts w:ascii="Verdana" w:eastAsia="Times New Roman" w:hAnsi="Verdana" w:cs="Arial"/>
          <w:b/>
          <w:color w:val="000000"/>
          <w:sz w:val="22"/>
          <w:szCs w:val="22"/>
        </w:rPr>
        <w:t>fico</w:t>
      </w:r>
    </w:p>
    <w:p w14:paraId="59802C69" w14:textId="77777777" w:rsidR="006D4499" w:rsidRPr="006D4499" w:rsidRDefault="006D4499" w:rsidP="006D4499">
      <w:pPr>
        <w:spacing w:line="360" w:lineRule="auto"/>
        <w:jc w:val="both"/>
        <w:rPr>
          <w:rFonts w:ascii="Verdana" w:eastAsia="Times New Roman" w:hAnsi="Verdana" w:cs="Arial"/>
          <w:color w:val="000000"/>
          <w:sz w:val="22"/>
          <w:szCs w:val="22"/>
        </w:rPr>
      </w:pPr>
    </w:p>
    <w:p w14:paraId="2534973B" w14:textId="447BD58C" w:rsidR="006D4499" w:rsidRPr="006D4499" w:rsidRDefault="006D4499" w:rsidP="006D4499">
      <w:pPr>
        <w:numPr>
          <w:ilvl w:val="0"/>
          <w:numId w:val="16"/>
        </w:numPr>
        <w:suppressAutoHyphens/>
        <w:autoSpaceDN w:val="0"/>
        <w:spacing w:line="360" w:lineRule="auto"/>
        <w:jc w:val="both"/>
        <w:textAlignment w:val="baseline"/>
        <w:rPr>
          <w:rFonts w:ascii="Verdana" w:eastAsia="Times New Roman" w:hAnsi="Verdana" w:cs="Arial"/>
          <w:color w:val="000000"/>
          <w:sz w:val="22"/>
          <w:szCs w:val="22"/>
        </w:rPr>
      </w:pPr>
      <w:r w:rsidRPr="006D4499">
        <w:rPr>
          <w:rFonts w:ascii="Verdana" w:eastAsia="Times New Roman" w:hAnsi="Verdana" w:cs="Arial"/>
          <w:color w:val="000000"/>
          <w:sz w:val="22"/>
          <w:szCs w:val="22"/>
        </w:rPr>
        <w:t>Dar cumplimiento a lo preceptuado en el Artículo 37 de Decreto 19 de 2012, “Por el cual se dictan normas para suprimir o reformar regulaciones, procedimientos y trámites innecesarios existentes en la Administración Publica"</w:t>
      </w:r>
    </w:p>
    <w:p w14:paraId="6D9A792A" w14:textId="77777777" w:rsidR="006D4499" w:rsidRPr="006D4499" w:rsidRDefault="006D4499" w:rsidP="006D4499">
      <w:pPr>
        <w:spacing w:line="360" w:lineRule="auto"/>
        <w:jc w:val="both"/>
        <w:rPr>
          <w:rFonts w:ascii="Verdana" w:hAnsi="Verdana" w:cs="Arial"/>
          <w:sz w:val="22"/>
          <w:szCs w:val="22"/>
          <w:lang w:val="es-ES"/>
        </w:rPr>
      </w:pPr>
    </w:p>
    <w:p w14:paraId="5A272C14" w14:textId="77777777" w:rsidR="006D4499" w:rsidRPr="006D4499" w:rsidRDefault="006D4499" w:rsidP="006D4499">
      <w:pPr>
        <w:spacing w:line="360" w:lineRule="auto"/>
        <w:jc w:val="both"/>
        <w:rPr>
          <w:rFonts w:ascii="Verdana" w:eastAsia="Times New Roman" w:hAnsi="Verdana" w:cs="Arial"/>
          <w:b/>
          <w:color w:val="000000"/>
          <w:sz w:val="22"/>
          <w:szCs w:val="22"/>
        </w:rPr>
      </w:pPr>
      <w:r w:rsidRPr="006D4499">
        <w:rPr>
          <w:rFonts w:ascii="Verdana" w:eastAsia="Times New Roman" w:hAnsi="Verdana" w:cs="Arial"/>
          <w:b/>
          <w:color w:val="000000"/>
          <w:sz w:val="22"/>
          <w:szCs w:val="22"/>
        </w:rPr>
        <w:t>Actividades o contenido</w:t>
      </w:r>
    </w:p>
    <w:p w14:paraId="2BD2E3CB" w14:textId="77777777" w:rsidR="006D4499" w:rsidRPr="006D4499" w:rsidRDefault="006D4499" w:rsidP="006D4499">
      <w:pPr>
        <w:spacing w:line="360" w:lineRule="auto"/>
        <w:jc w:val="both"/>
        <w:rPr>
          <w:rFonts w:ascii="Verdana" w:eastAsia="Times New Roman" w:hAnsi="Verdana" w:cs="Arial"/>
          <w:color w:val="000000"/>
          <w:sz w:val="22"/>
          <w:szCs w:val="22"/>
        </w:rPr>
      </w:pPr>
    </w:p>
    <w:p w14:paraId="5479A522" w14:textId="77777777" w:rsidR="006D4499" w:rsidRPr="006D4499" w:rsidRDefault="006D4499" w:rsidP="006D4499">
      <w:pPr>
        <w:spacing w:line="360" w:lineRule="auto"/>
        <w:jc w:val="both"/>
        <w:rPr>
          <w:rFonts w:ascii="Verdana" w:hAnsi="Verdana" w:cs="Arial"/>
          <w:sz w:val="22"/>
          <w:szCs w:val="22"/>
        </w:rPr>
      </w:pPr>
      <w:r w:rsidRPr="006D4499">
        <w:rPr>
          <w:rFonts w:ascii="Verdana" w:hAnsi="Verdana" w:cs="Arial"/>
          <w:sz w:val="22"/>
          <w:szCs w:val="22"/>
        </w:rPr>
        <w:t>Le corresponde a la Superintendencia de Vigilancia y Seguridad Privada emitir instrucciones que considere adecuadas para optimizar su función como ente de control, regular el sector y garantizar la adecuada prestación del servicio. Lo anterior, igualmente se concreta con lo preceptuado en el Artículo 37 del Decreto 19 de 2012 “por el cual se dictan normas ´para suprimir o reformar regulaciones, procedimientos y trámites innecesarios existentes en la administración pública”, el que dispone lo siguiente:</w:t>
      </w:r>
    </w:p>
    <w:p w14:paraId="59C0E0A4" w14:textId="77777777" w:rsidR="006D4499" w:rsidRPr="006D4499" w:rsidRDefault="006D4499" w:rsidP="006D4499">
      <w:pPr>
        <w:spacing w:line="360" w:lineRule="auto"/>
        <w:jc w:val="both"/>
        <w:rPr>
          <w:rFonts w:ascii="Verdana" w:hAnsi="Verdana" w:cs="Arial"/>
          <w:sz w:val="22"/>
          <w:szCs w:val="22"/>
        </w:rPr>
      </w:pPr>
    </w:p>
    <w:p w14:paraId="5776E4DE" w14:textId="77777777" w:rsidR="006D4499" w:rsidRPr="006D4499" w:rsidRDefault="006D4499" w:rsidP="006D4499">
      <w:pPr>
        <w:spacing w:line="360" w:lineRule="auto"/>
        <w:jc w:val="both"/>
        <w:rPr>
          <w:rFonts w:ascii="Verdana" w:hAnsi="Verdana" w:cs="Arial"/>
          <w:sz w:val="22"/>
          <w:szCs w:val="22"/>
        </w:rPr>
      </w:pPr>
      <w:r w:rsidRPr="006D4499">
        <w:rPr>
          <w:rFonts w:ascii="Verdana" w:hAnsi="Verdana" w:cs="Arial"/>
          <w:sz w:val="22"/>
          <w:szCs w:val="22"/>
        </w:rPr>
        <w:t>“En ejercicio de sus funciones de inspección, Vigilancia y Control, las Superintendencias y demás entidades que cumplan funciones de policía administrativa, impartirán instrucciones a sus vigilados para que no exijan más requisitos, tramites o procedimientos de los estrictamente necesarios, y orientarlos al logro de objetivos de eficiencia, economía, celeridad y racionalización de trámites que beneficien al ciudadano…”</w:t>
      </w:r>
    </w:p>
    <w:p w14:paraId="07370B11" w14:textId="77777777" w:rsidR="006D4499" w:rsidRPr="006D4499" w:rsidRDefault="006D4499" w:rsidP="006D4499">
      <w:pPr>
        <w:spacing w:line="360" w:lineRule="auto"/>
        <w:jc w:val="both"/>
        <w:rPr>
          <w:rFonts w:ascii="Verdana" w:hAnsi="Verdana" w:cs="Arial"/>
          <w:sz w:val="22"/>
          <w:szCs w:val="22"/>
        </w:rPr>
      </w:pPr>
    </w:p>
    <w:p w14:paraId="65B04CA9" w14:textId="77777777" w:rsidR="006D4499" w:rsidRPr="006D4499" w:rsidRDefault="006D4499" w:rsidP="006D4499">
      <w:pPr>
        <w:spacing w:line="360" w:lineRule="auto"/>
        <w:jc w:val="both"/>
        <w:rPr>
          <w:rFonts w:ascii="Verdana" w:hAnsi="Verdana" w:cs="Arial"/>
          <w:sz w:val="22"/>
          <w:szCs w:val="22"/>
        </w:rPr>
      </w:pPr>
      <w:r w:rsidRPr="006D4499">
        <w:rPr>
          <w:rFonts w:ascii="Verdana" w:hAnsi="Verdana" w:cs="Arial"/>
          <w:sz w:val="22"/>
          <w:szCs w:val="22"/>
        </w:rPr>
        <w:lastRenderedPageBreak/>
        <w:t>El citado artículo, adicionalmente, establece estándares de recomendaciones de operación de lo vigilados, haciendo especial énfasis en la transparencia en la información, el uso de tecnologías, la estandarización de procedimientos y el fomento de las asociaciones de consumidores y usuarios, entre otros.</w:t>
      </w:r>
    </w:p>
    <w:p w14:paraId="3649F80A" w14:textId="17B9DCA1" w:rsidR="006D4499" w:rsidRPr="006D4499" w:rsidRDefault="006D4499" w:rsidP="006D4499">
      <w:pPr>
        <w:spacing w:line="360" w:lineRule="auto"/>
        <w:jc w:val="both"/>
        <w:rPr>
          <w:rFonts w:ascii="Verdana" w:hAnsi="Verdana" w:cs="Arial"/>
          <w:sz w:val="22"/>
          <w:szCs w:val="22"/>
        </w:rPr>
      </w:pPr>
    </w:p>
    <w:p w14:paraId="4EBD791D" w14:textId="77777777" w:rsidR="006D4499" w:rsidRPr="006D4499" w:rsidRDefault="006D4499" w:rsidP="006D4499">
      <w:pPr>
        <w:spacing w:line="360" w:lineRule="auto"/>
        <w:rPr>
          <w:rFonts w:ascii="Verdana" w:hAnsi="Verdana" w:cs="Arial"/>
          <w:b/>
          <w:sz w:val="22"/>
          <w:szCs w:val="22"/>
        </w:rPr>
      </w:pPr>
      <w:r w:rsidRPr="006D4499">
        <w:rPr>
          <w:rFonts w:ascii="Verdana" w:hAnsi="Verdana" w:cs="Arial"/>
          <w:b/>
          <w:sz w:val="22"/>
          <w:szCs w:val="22"/>
        </w:rPr>
        <w:t xml:space="preserve">Lineamientos para soportar el agotamiento de los reclamos </w:t>
      </w:r>
    </w:p>
    <w:p w14:paraId="55DC3370" w14:textId="77777777" w:rsidR="006D4499" w:rsidRPr="006D4499" w:rsidRDefault="006D4499" w:rsidP="006D4499">
      <w:pPr>
        <w:spacing w:line="360" w:lineRule="auto"/>
        <w:jc w:val="both"/>
        <w:rPr>
          <w:rFonts w:ascii="Verdana" w:hAnsi="Verdana" w:cs="Arial"/>
          <w:sz w:val="22"/>
          <w:szCs w:val="22"/>
        </w:rPr>
      </w:pPr>
    </w:p>
    <w:p w14:paraId="7BAE2AB9" w14:textId="77777777" w:rsidR="006D4499" w:rsidRPr="006D4499" w:rsidRDefault="006D4499" w:rsidP="006D4499">
      <w:pPr>
        <w:spacing w:line="360" w:lineRule="auto"/>
        <w:jc w:val="both"/>
        <w:rPr>
          <w:rFonts w:ascii="Verdana" w:hAnsi="Verdana" w:cs="Arial"/>
          <w:sz w:val="22"/>
          <w:szCs w:val="22"/>
        </w:rPr>
      </w:pPr>
      <w:r w:rsidRPr="006D4499">
        <w:rPr>
          <w:rFonts w:ascii="Verdana" w:hAnsi="Verdana" w:cs="Arial"/>
          <w:sz w:val="22"/>
          <w:szCs w:val="22"/>
        </w:rPr>
        <w:t>Entiéndase por sistemas de atención al cliente, la estructura dentro de cualquier organización destinada a atender cualquier reclamación que efectúen los adquirientes del bien o servicio ofrecido y de darle trámite a la misma otorgando la información adecuada y proporcionando alternativas que den solución al asunto puesto en conocimiento.</w:t>
      </w:r>
    </w:p>
    <w:p w14:paraId="63A9EFA5" w14:textId="77777777" w:rsidR="006D4499" w:rsidRPr="006D4499" w:rsidRDefault="006D4499" w:rsidP="006D4499">
      <w:pPr>
        <w:spacing w:line="360" w:lineRule="auto"/>
        <w:jc w:val="both"/>
        <w:rPr>
          <w:rFonts w:ascii="Verdana" w:hAnsi="Verdana" w:cs="Arial"/>
          <w:sz w:val="22"/>
          <w:szCs w:val="22"/>
        </w:rPr>
      </w:pPr>
    </w:p>
    <w:p w14:paraId="095B7146" w14:textId="77777777" w:rsidR="006D4499" w:rsidRPr="006D4499" w:rsidRDefault="006D4499" w:rsidP="006D4499">
      <w:pPr>
        <w:spacing w:line="360" w:lineRule="auto"/>
        <w:jc w:val="both"/>
        <w:rPr>
          <w:rFonts w:ascii="Verdana" w:hAnsi="Verdana" w:cs="Arial"/>
          <w:sz w:val="22"/>
          <w:szCs w:val="22"/>
        </w:rPr>
      </w:pPr>
      <w:r w:rsidRPr="006D4499">
        <w:rPr>
          <w:rFonts w:ascii="Verdana" w:hAnsi="Verdana" w:cs="Arial"/>
          <w:sz w:val="22"/>
          <w:szCs w:val="22"/>
        </w:rPr>
        <w:t xml:space="preserve">Para esto se debe cumplir con principios rectores de un adecuado sistema de atención al cliente entre los que se encuentran: </w:t>
      </w:r>
    </w:p>
    <w:p w14:paraId="1415463A" w14:textId="77777777" w:rsidR="006D4499" w:rsidRPr="006D4499" w:rsidRDefault="006D4499" w:rsidP="006D4499">
      <w:pPr>
        <w:spacing w:line="360" w:lineRule="auto"/>
        <w:jc w:val="both"/>
        <w:rPr>
          <w:rFonts w:ascii="Verdana" w:hAnsi="Verdana" w:cs="Arial"/>
          <w:sz w:val="22"/>
          <w:szCs w:val="22"/>
        </w:rPr>
      </w:pPr>
    </w:p>
    <w:p w14:paraId="0F33D09A" w14:textId="77777777" w:rsidR="006D4499" w:rsidRPr="006D4499" w:rsidRDefault="006D4499" w:rsidP="006D4499">
      <w:pPr>
        <w:numPr>
          <w:ilvl w:val="0"/>
          <w:numId w:val="17"/>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Transparencia</w:t>
      </w:r>
    </w:p>
    <w:p w14:paraId="51D659E5" w14:textId="77777777" w:rsidR="006D4499" w:rsidRPr="006D4499" w:rsidRDefault="006D4499" w:rsidP="006D4499">
      <w:pPr>
        <w:numPr>
          <w:ilvl w:val="0"/>
          <w:numId w:val="17"/>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 xml:space="preserve">Buenas prácticas </w:t>
      </w:r>
    </w:p>
    <w:p w14:paraId="274377A4" w14:textId="77777777" w:rsidR="006D4499" w:rsidRPr="006D4499" w:rsidRDefault="006D4499" w:rsidP="006D4499">
      <w:pPr>
        <w:numPr>
          <w:ilvl w:val="0"/>
          <w:numId w:val="17"/>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 xml:space="preserve">Responsabilidad </w:t>
      </w:r>
    </w:p>
    <w:p w14:paraId="62519310" w14:textId="77777777" w:rsidR="006D4499" w:rsidRPr="006D4499" w:rsidRDefault="006D4499" w:rsidP="006D4499">
      <w:pPr>
        <w:numPr>
          <w:ilvl w:val="0"/>
          <w:numId w:val="17"/>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 xml:space="preserve">Oportunidad </w:t>
      </w:r>
    </w:p>
    <w:p w14:paraId="6E83A766" w14:textId="77777777" w:rsidR="006D4499" w:rsidRPr="006D4499" w:rsidRDefault="006D4499" w:rsidP="006D4499">
      <w:pPr>
        <w:numPr>
          <w:ilvl w:val="0"/>
          <w:numId w:val="17"/>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Respeto</w:t>
      </w:r>
    </w:p>
    <w:p w14:paraId="4BB9E50C" w14:textId="77777777" w:rsidR="006D4499" w:rsidRPr="006D4499" w:rsidRDefault="006D4499" w:rsidP="006D4499">
      <w:pPr>
        <w:spacing w:line="360" w:lineRule="auto"/>
        <w:jc w:val="both"/>
        <w:rPr>
          <w:rFonts w:ascii="Verdana" w:hAnsi="Verdana" w:cs="Arial"/>
          <w:sz w:val="22"/>
          <w:szCs w:val="22"/>
        </w:rPr>
      </w:pPr>
    </w:p>
    <w:p w14:paraId="3594D3E7" w14:textId="77777777" w:rsidR="006D4499" w:rsidRPr="006D4499" w:rsidRDefault="006D4499" w:rsidP="006D4499">
      <w:pPr>
        <w:spacing w:line="360" w:lineRule="auto"/>
        <w:jc w:val="both"/>
        <w:rPr>
          <w:rFonts w:ascii="Verdana" w:hAnsi="Verdana" w:cs="Arial"/>
          <w:sz w:val="22"/>
          <w:szCs w:val="22"/>
        </w:rPr>
      </w:pPr>
      <w:r w:rsidRPr="006D4499">
        <w:rPr>
          <w:rFonts w:ascii="Verdana" w:hAnsi="Verdana" w:cs="Arial"/>
          <w:sz w:val="22"/>
          <w:szCs w:val="22"/>
        </w:rPr>
        <w:t>Según lo anterior y teniendo en cuenta lo estipulado en la circular 20 de 2012, se establece los siguientes parámetros como guía, para que el ciudadano agote las diferentes instancias en desarrollo de sus reclamaciones relacionadas con la prestación del servicio de vigilancia y seguridad privada, por parte de los servicios de vigilancia y seguridad privada así:</w:t>
      </w:r>
    </w:p>
    <w:p w14:paraId="299216E4" w14:textId="77777777" w:rsidR="006D4499" w:rsidRPr="006D4499" w:rsidRDefault="006D4499" w:rsidP="006D4499">
      <w:pPr>
        <w:spacing w:line="360" w:lineRule="auto"/>
        <w:jc w:val="both"/>
        <w:rPr>
          <w:rFonts w:ascii="Verdana" w:hAnsi="Verdana" w:cs="Arial"/>
          <w:sz w:val="22"/>
          <w:szCs w:val="22"/>
        </w:rPr>
      </w:pPr>
    </w:p>
    <w:p w14:paraId="6484F7BA" w14:textId="77777777" w:rsidR="006D4499" w:rsidRPr="006D4499" w:rsidRDefault="006D4499" w:rsidP="006D4499">
      <w:pPr>
        <w:numPr>
          <w:ilvl w:val="0"/>
          <w:numId w:val="19"/>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Quejas laborales</w:t>
      </w:r>
    </w:p>
    <w:p w14:paraId="5C207EAC" w14:textId="77777777" w:rsidR="006D4499" w:rsidRPr="006D4499" w:rsidRDefault="006D4499" w:rsidP="006D4499">
      <w:pPr>
        <w:spacing w:line="360" w:lineRule="auto"/>
        <w:ind w:left="720"/>
        <w:jc w:val="both"/>
        <w:rPr>
          <w:rFonts w:ascii="Verdana" w:hAnsi="Verdana" w:cs="Arial"/>
          <w:sz w:val="22"/>
          <w:szCs w:val="22"/>
        </w:rPr>
      </w:pPr>
    </w:p>
    <w:p w14:paraId="65A88019" w14:textId="77777777" w:rsidR="006D4499" w:rsidRPr="006D4499" w:rsidRDefault="006D4499" w:rsidP="006D4499">
      <w:pPr>
        <w:spacing w:line="360" w:lineRule="auto"/>
        <w:jc w:val="both"/>
        <w:rPr>
          <w:rFonts w:ascii="Verdana" w:hAnsi="Verdana" w:cs="Arial"/>
          <w:sz w:val="22"/>
          <w:szCs w:val="22"/>
        </w:rPr>
      </w:pPr>
      <w:r w:rsidRPr="006D4499">
        <w:rPr>
          <w:rFonts w:ascii="Verdana" w:hAnsi="Verdana" w:cs="Arial"/>
          <w:sz w:val="22"/>
          <w:szCs w:val="22"/>
        </w:rPr>
        <w:t>El procedimiento para las quejas laborales contra empresas de vigilancia, departamentos de seguridad, transportadoras de valores, empresas asesoras, consultora e investigadoras, escuelas de capacitación en vigilancia y seguridad privada, blindadoras y arrendadoras de vehículos blindados se deben realizar de la siguiente forma:</w:t>
      </w:r>
    </w:p>
    <w:p w14:paraId="0C472357" w14:textId="77777777" w:rsidR="006D4499" w:rsidRPr="006D4499" w:rsidRDefault="006D4499" w:rsidP="006D4499">
      <w:pPr>
        <w:spacing w:line="360" w:lineRule="auto"/>
        <w:jc w:val="both"/>
        <w:rPr>
          <w:rFonts w:ascii="Verdana" w:hAnsi="Verdana" w:cs="Arial"/>
          <w:sz w:val="22"/>
          <w:szCs w:val="22"/>
        </w:rPr>
      </w:pPr>
    </w:p>
    <w:p w14:paraId="2023756F" w14:textId="77777777" w:rsidR="006D4499" w:rsidRPr="006D4499" w:rsidRDefault="006D4499" w:rsidP="006D4499">
      <w:pPr>
        <w:numPr>
          <w:ilvl w:val="0"/>
          <w:numId w:val="18"/>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lastRenderedPageBreak/>
        <w:t>Los reclamos por no pago de salarios, horas extras, recargos, prestaciones sociales, recargos nocturnos, dominicales, festivos y/o exceder la jornada laboral se deben colocar ante las dependencias de la empresa tales como las oficinas de talento humano, recursos humanos o quien haga sus veces en los Servicio de Vigilancia y Seguridad Privada.</w:t>
      </w:r>
    </w:p>
    <w:p w14:paraId="0B5CD8FA" w14:textId="77777777" w:rsidR="006D4499" w:rsidRPr="006D4499" w:rsidRDefault="006D4499" w:rsidP="006D4499">
      <w:pPr>
        <w:spacing w:line="360" w:lineRule="auto"/>
        <w:ind w:left="720"/>
        <w:jc w:val="both"/>
        <w:rPr>
          <w:rFonts w:ascii="Verdana" w:hAnsi="Verdana" w:cs="Arial"/>
          <w:sz w:val="22"/>
          <w:szCs w:val="22"/>
        </w:rPr>
      </w:pPr>
    </w:p>
    <w:p w14:paraId="03FCA466" w14:textId="77777777" w:rsidR="006D4499" w:rsidRPr="006D4499" w:rsidRDefault="006D4499" w:rsidP="006D4499">
      <w:pPr>
        <w:numPr>
          <w:ilvl w:val="0"/>
          <w:numId w:val="18"/>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Los reclamos por acoso laboral, en primera instancia se deben presentar ante el comité de convivencia de la empresa, y en segunda instancia ante el Ministerio de trabajo.</w:t>
      </w:r>
    </w:p>
    <w:p w14:paraId="0E3B8BAA" w14:textId="77777777" w:rsidR="006D4499" w:rsidRPr="006D4499" w:rsidRDefault="006D4499" w:rsidP="006D4499">
      <w:pPr>
        <w:numPr>
          <w:ilvl w:val="0"/>
          <w:numId w:val="18"/>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Los reclamos por el no pago de compensaciones ordinarias o extraordinarias, devoluciones de aportes y haberes sociales en las cooperativas de vigilancia y seguridad privada, la primera instancia se debe agotar ante el consejo de administración y/o junta de vigilancia.</w:t>
      </w:r>
    </w:p>
    <w:p w14:paraId="1D69AB7D" w14:textId="77777777" w:rsidR="006D4499" w:rsidRPr="006D4499" w:rsidRDefault="006D4499" w:rsidP="006D4499">
      <w:pPr>
        <w:numPr>
          <w:ilvl w:val="0"/>
          <w:numId w:val="18"/>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Los reclamos por despidos sin justa causa, la primera instancia se debe presentar ante la empresa y en segunda instancia ante el ministerio de Trabajo y/o Jurisdicción ordinaria.</w:t>
      </w:r>
    </w:p>
    <w:p w14:paraId="79E48CC2" w14:textId="77777777" w:rsidR="006D4499" w:rsidRPr="006D4499" w:rsidRDefault="006D4499" w:rsidP="006D4499">
      <w:pPr>
        <w:numPr>
          <w:ilvl w:val="0"/>
          <w:numId w:val="18"/>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Los reclamos por el no cumplimiento con las obligaciones relacionadas con seguridad social y parafiscal, la primera instancia se debe agotar ante las respectivas dependencias en los servicios de vigilancia y seguridad privada en las oficinas de talento humano o personal. En el caso de las cooperativas se debe presentar ante el representante legal de la cooperativa, el consejo de administración o Junta de Vigilancia En segunda instancia se interpone ante el Ministerio de Trabajo.</w:t>
      </w:r>
    </w:p>
    <w:p w14:paraId="4FF8F113" w14:textId="77777777" w:rsidR="006D4499" w:rsidRPr="006D4499" w:rsidRDefault="006D4499" w:rsidP="006D4499">
      <w:pPr>
        <w:spacing w:line="360" w:lineRule="auto"/>
        <w:ind w:left="720"/>
        <w:jc w:val="both"/>
        <w:rPr>
          <w:rFonts w:ascii="Verdana" w:hAnsi="Verdana" w:cs="Arial"/>
          <w:sz w:val="22"/>
          <w:szCs w:val="22"/>
        </w:rPr>
      </w:pPr>
    </w:p>
    <w:p w14:paraId="1C4556D2" w14:textId="77777777" w:rsidR="006D4499" w:rsidRPr="006D4499" w:rsidRDefault="006D4499" w:rsidP="006D4499">
      <w:pPr>
        <w:numPr>
          <w:ilvl w:val="0"/>
          <w:numId w:val="19"/>
        </w:numPr>
        <w:suppressAutoHyphens/>
        <w:autoSpaceDN w:val="0"/>
        <w:spacing w:line="360" w:lineRule="auto"/>
        <w:textAlignment w:val="baseline"/>
        <w:rPr>
          <w:rFonts w:ascii="Verdana" w:hAnsi="Verdana" w:cs="Arial"/>
          <w:sz w:val="22"/>
          <w:szCs w:val="22"/>
        </w:rPr>
      </w:pPr>
      <w:r w:rsidRPr="006D4499">
        <w:rPr>
          <w:rFonts w:ascii="Verdana" w:hAnsi="Verdana" w:cs="Arial"/>
          <w:sz w:val="22"/>
          <w:szCs w:val="22"/>
        </w:rPr>
        <w:t xml:space="preserve">Quejas por irregularidades y hurtos </w:t>
      </w:r>
    </w:p>
    <w:p w14:paraId="2B2085DD" w14:textId="77777777" w:rsidR="006D4499" w:rsidRPr="006D4499" w:rsidRDefault="006D4499" w:rsidP="006D4499">
      <w:pPr>
        <w:spacing w:line="360" w:lineRule="auto"/>
        <w:ind w:left="720"/>
        <w:jc w:val="both"/>
        <w:rPr>
          <w:rFonts w:ascii="Verdana" w:hAnsi="Verdana" w:cs="Arial"/>
          <w:sz w:val="22"/>
          <w:szCs w:val="22"/>
        </w:rPr>
      </w:pPr>
    </w:p>
    <w:p w14:paraId="19BC4561" w14:textId="77777777" w:rsidR="006D4499" w:rsidRPr="006D4499" w:rsidRDefault="006D4499" w:rsidP="006D4499">
      <w:pPr>
        <w:numPr>
          <w:ilvl w:val="0"/>
          <w:numId w:val="20"/>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 xml:space="preserve">Los reclamos a empresas y/o cooperativas de vigilancia y seguridad privada, en primera instancia se debe agotar todos los recursos ante las empresas y/o cooperativas de vigilancia y seguridad privada en la que se debe hacer una descripción detallada de los hechos y además debe contener la fecha aproximada de ocurrencia, hora, lugar y circunstancias de modo tiempo y lugar que sustentan la denuncia. </w:t>
      </w:r>
    </w:p>
    <w:p w14:paraId="66BE68C3" w14:textId="77777777" w:rsidR="006D4499" w:rsidRPr="006D4499" w:rsidRDefault="006D4499" w:rsidP="006D4499">
      <w:pPr>
        <w:numPr>
          <w:ilvl w:val="0"/>
          <w:numId w:val="20"/>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Cuando se pretenda el reconocimiento de derechos, compensaciones, indemnizaciones o similares; La competencia corresponde la jurisdicción ordinaria.</w:t>
      </w:r>
    </w:p>
    <w:p w14:paraId="31C5E878" w14:textId="77777777" w:rsidR="006D4499" w:rsidRPr="006D4499" w:rsidRDefault="006D4499" w:rsidP="006D4499">
      <w:pPr>
        <w:spacing w:line="360" w:lineRule="auto"/>
        <w:ind w:left="690"/>
        <w:jc w:val="both"/>
        <w:rPr>
          <w:rFonts w:ascii="Verdana" w:hAnsi="Verdana" w:cs="Arial"/>
          <w:sz w:val="22"/>
          <w:szCs w:val="22"/>
        </w:rPr>
      </w:pPr>
    </w:p>
    <w:p w14:paraId="1073FF17" w14:textId="49A4E1D7" w:rsidR="006D4499" w:rsidRPr="006D4499" w:rsidRDefault="006D4499" w:rsidP="006D4499">
      <w:pPr>
        <w:numPr>
          <w:ilvl w:val="0"/>
          <w:numId w:val="19"/>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lastRenderedPageBreak/>
        <w:t>Cuando el reclamo es por tarifas o no cumplimiento del decreto 4950 de 2007 compilado en el decreto 1070 de 2015, el reclamo se interpondrá directamente ante la Superintendencia de Vigilancia y seguridad Privada, la cual se podrá radicar en la oficina de atención al ciudadano o en la plataforma de la entidad o cualquier otro canal autorizado por la Supervigilancia.</w:t>
      </w:r>
    </w:p>
    <w:p w14:paraId="4D0DD15F" w14:textId="77777777" w:rsidR="006D4499" w:rsidRPr="006D4499" w:rsidRDefault="006D4499" w:rsidP="006D4499">
      <w:pPr>
        <w:spacing w:line="360" w:lineRule="auto"/>
        <w:ind w:left="720"/>
        <w:jc w:val="both"/>
        <w:rPr>
          <w:rFonts w:ascii="Verdana" w:hAnsi="Verdana" w:cs="Arial"/>
          <w:sz w:val="22"/>
          <w:szCs w:val="22"/>
        </w:rPr>
      </w:pPr>
    </w:p>
    <w:p w14:paraId="2626164F" w14:textId="77777777" w:rsidR="006D4499" w:rsidRPr="006D4499" w:rsidRDefault="006D4499" w:rsidP="006D4499">
      <w:pPr>
        <w:numPr>
          <w:ilvl w:val="0"/>
          <w:numId w:val="19"/>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Cuando el reclamo es por calidad de servicio y garantías de equipos para la vigilancia y seguridad privada. En primera instancia se interpondrá el reclamo directamente al servicio de vigilancia y seguridad privada que suministró el equipo y en segunda instancia ante Superintendencia de Industria y Comercio.</w:t>
      </w:r>
    </w:p>
    <w:p w14:paraId="1E32A4A6" w14:textId="77777777" w:rsidR="006D4499" w:rsidRPr="006D4499" w:rsidRDefault="006D4499" w:rsidP="006D4499">
      <w:pPr>
        <w:spacing w:line="360" w:lineRule="auto"/>
        <w:jc w:val="both"/>
        <w:rPr>
          <w:rFonts w:ascii="Verdana" w:hAnsi="Verdana" w:cs="Arial"/>
          <w:sz w:val="22"/>
          <w:szCs w:val="22"/>
        </w:rPr>
      </w:pPr>
    </w:p>
    <w:p w14:paraId="17E346E1" w14:textId="77777777" w:rsidR="006D4499" w:rsidRPr="006D4499" w:rsidRDefault="006D4499" w:rsidP="006D4499">
      <w:pPr>
        <w:numPr>
          <w:ilvl w:val="0"/>
          <w:numId w:val="19"/>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Cuando el reclamo es por competencia desleal o por cualquier tipo de transgresión a las normas restrictivas de la competencia, Los reclamos se interpondrá directamente ante Superintendencia de Industria y Comercio.</w:t>
      </w:r>
    </w:p>
    <w:p w14:paraId="0522DFA9" w14:textId="77777777" w:rsidR="006D4499" w:rsidRPr="006D4499" w:rsidRDefault="006D4499" w:rsidP="006D4499">
      <w:pPr>
        <w:pStyle w:val="Prrafodelista"/>
        <w:rPr>
          <w:rFonts w:ascii="Verdana" w:hAnsi="Verdana" w:cs="Arial"/>
        </w:rPr>
      </w:pPr>
    </w:p>
    <w:p w14:paraId="25EB1988" w14:textId="15242E5A" w:rsidR="006D4499" w:rsidRPr="006D4499" w:rsidRDefault="006D4499" w:rsidP="006D4499">
      <w:pPr>
        <w:numPr>
          <w:ilvl w:val="0"/>
          <w:numId w:val="19"/>
        </w:numPr>
        <w:suppressAutoHyphens/>
        <w:autoSpaceDN w:val="0"/>
        <w:spacing w:line="360" w:lineRule="auto"/>
        <w:jc w:val="both"/>
        <w:textAlignment w:val="baseline"/>
        <w:rPr>
          <w:rFonts w:ascii="Verdana" w:hAnsi="Verdana" w:cs="Arial"/>
          <w:sz w:val="22"/>
          <w:szCs w:val="22"/>
        </w:rPr>
      </w:pPr>
      <w:r w:rsidRPr="006D4499">
        <w:rPr>
          <w:rFonts w:ascii="Verdana" w:hAnsi="Verdana" w:cs="Arial"/>
          <w:sz w:val="22"/>
          <w:szCs w:val="22"/>
        </w:rPr>
        <w:t>Cuando el reclamo es por la prestación de servicios no autorizados o contratación directa de personal con funciones de servicios de vigilancia y seguridad privada, se debe presentar el reclamo directamente ante esta Superintendencia de Vigilancia y Seguridad Privada en la oficina de atención al ciudadano o en la plataforma de la entidad o cualquier otro canal autorizado por la Supervigilancia.</w:t>
      </w:r>
    </w:p>
    <w:p w14:paraId="6186631C" w14:textId="055D2BE2" w:rsidR="006D4499" w:rsidRPr="006D4499" w:rsidRDefault="006D4499" w:rsidP="006D4499">
      <w:pPr>
        <w:spacing w:line="360" w:lineRule="auto"/>
        <w:jc w:val="both"/>
        <w:rPr>
          <w:rFonts w:ascii="Verdana" w:hAnsi="Verdana" w:cs="Arial"/>
          <w:sz w:val="22"/>
          <w:szCs w:val="22"/>
        </w:rPr>
      </w:pPr>
    </w:p>
    <w:p w14:paraId="76DFB2B8" w14:textId="7C63BBB7" w:rsidR="00BC5368" w:rsidRPr="006D4499" w:rsidRDefault="006D4499" w:rsidP="006D4499">
      <w:pPr>
        <w:spacing w:line="360" w:lineRule="auto"/>
        <w:jc w:val="both"/>
        <w:rPr>
          <w:rFonts w:ascii="Verdana" w:hAnsi="Verdana" w:cs="Arial"/>
          <w:sz w:val="22"/>
          <w:szCs w:val="22"/>
        </w:rPr>
      </w:pPr>
      <w:r w:rsidRPr="006D4499">
        <w:rPr>
          <w:rFonts w:ascii="Verdana" w:hAnsi="Verdana" w:cs="Arial"/>
          <w:sz w:val="22"/>
          <w:szCs w:val="22"/>
        </w:rPr>
        <w:t>Para acudir ante la Superintendencia de Vigilancia y Seguridad Privada en cada uno de los casos mencionados anteriormente, él solicítate deberá allegar copia del radicado de su solicitud ante el servicio de vigilancia y seguridad privada o en su defecto copia de la guía de envió de su reclamo ante el servicio de vigilancia y seguridad privada sin perjuicio del artículo 23 de la Constitución Política de Colombia en concordancia con la ley 1755 de 2015.</w:t>
      </w:r>
    </w:p>
    <w:sectPr w:rsidR="00BC5368" w:rsidRPr="006D4499" w:rsidSect="00137E8A">
      <w:headerReference w:type="default" r:id="rId11"/>
      <w:footerReference w:type="default" r:id="rId1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4DC9F" w14:textId="77777777" w:rsidR="00842B19" w:rsidRDefault="00842B19" w:rsidP="008B51F5">
      <w:r>
        <w:separator/>
      </w:r>
    </w:p>
  </w:endnote>
  <w:endnote w:type="continuationSeparator" w:id="0">
    <w:p w14:paraId="18F02AD8" w14:textId="77777777" w:rsidR="00842B19" w:rsidRDefault="00842B19"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3746" w14:textId="77777777" w:rsidR="00652941" w:rsidRDefault="00652941" w:rsidP="00652941">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82816" behindDoc="0" locked="0" layoutInCell="1" allowOverlap="1" wp14:anchorId="454EB81C" wp14:editId="77F9E7AE">
              <wp:simplePos x="0" y="0"/>
              <wp:positionH relativeFrom="column">
                <wp:posOffset>-1061085</wp:posOffset>
              </wp:positionH>
              <wp:positionV relativeFrom="paragraph">
                <wp:posOffset>164906</wp:posOffset>
              </wp:positionV>
              <wp:extent cx="7743825" cy="190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566F1AA" id="Conector recto 2"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" strokecolor="#4472c4 [3204]" strokeweight="1.5pt">
              <v:stroke joinstyle="miter"/>
            </v:line>
          </w:pict>
        </mc:Fallback>
      </mc:AlternateContent>
    </w:r>
  </w:p>
  <w:p w14:paraId="6391502B" w14:textId="77777777" w:rsidR="00652941" w:rsidRDefault="00652941" w:rsidP="00652941">
    <w:pPr>
      <w:pStyle w:val="Piedepgina"/>
      <w:tabs>
        <w:tab w:val="clear" w:pos="4419"/>
        <w:tab w:val="clear" w:pos="8838"/>
      </w:tabs>
      <w:jc w:val="center"/>
      <w:rPr>
        <w:rFonts w:ascii="Montserrat" w:hAnsi="Montserrat"/>
        <w:sz w:val="14"/>
        <w:lang w:val="es-ES"/>
      </w:rPr>
    </w:pPr>
  </w:p>
  <w:p w14:paraId="58BD765C" w14:textId="7981313A" w:rsidR="00652941" w:rsidRDefault="00652941" w:rsidP="00652941">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E154FC" w:rsidRPr="00E154FC">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E154FC" w:rsidRPr="00E154FC">
      <w:rPr>
        <w:rFonts w:ascii="Montserrat" w:hAnsi="Montserrat"/>
        <w:noProof/>
        <w:sz w:val="14"/>
        <w:lang w:val="es-ES"/>
      </w:rPr>
      <w:t>4</w:t>
    </w:r>
    <w:r w:rsidRPr="00D218F3">
      <w:rPr>
        <w:rFonts w:ascii="Montserrat" w:hAnsi="Montserrat"/>
        <w:sz w:val="14"/>
      </w:rPr>
      <w:fldChar w:fldCharType="end"/>
    </w:r>
  </w:p>
  <w:p w14:paraId="7772811C" w14:textId="77777777" w:rsidR="00652941" w:rsidRDefault="00652941" w:rsidP="00652941">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81792" behindDoc="0" locked="0" layoutInCell="1" allowOverlap="1" wp14:anchorId="4939F26D" wp14:editId="4F160EF2">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C83D9" w14:textId="77777777" w:rsidR="00652941" w:rsidRPr="004641D3" w:rsidRDefault="00652941" w:rsidP="00652941">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5BEB0E79" w14:textId="77777777" w:rsidR="00652941" w:rsidRPr="004641D3" w:rsidRDefault="00652941" w:rsidP="00652941">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63970E59" w14:textId="77777777" w:rsidR="00652941" w:rsidRPr="004641D3" w:rsidRDefault="00652941" w:rsidP="00652941">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9F26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57CC83D9" w14:textId="77777777" w:rsidR="00652941" w:rsidRPr="004641D3" w:rsidRDefault="00652941" w:rsidP="00652941">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5BEB0E79" w14:textId="77777777" w:rsidR="00652941" w:rsidRPr="004641D3" w:rsidRDefault="00652941" w:rsidP="00652941">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63970E59" w14:textId="77777777" w:rsidR="00652941" w:rsidRPr="004641D3" w:rsidRDefault="00652941" w:rsidP="00652941">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ECFF944" w14:textId="77777777" w:rsidR="00652941" w:rsidRPr="00D218F3" w:rsidRDefault="00652941" w:rsidP="00652941">
    <w:pPr>
      <w:pStyle w:val="Piedepgina"/>
      <w:jc w:val="center"/>
      <w:rPr>
        <w:b/>
        <w:color w:val="0070C0"/>
        <w:sz w:val="8"/>
        <w:szCs w:val="28"/>
      </w:rPr>
    </w:pPr>
  </w:p>
  <w:p w14:paraId="0B9AADB4" w14:textId="77777777" w:rsidR="00652941" w:rsidRDefault="00652941" w:rsidP="00652941">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80768" behindDoc="0" locked="0" layoutInCell="1" allowOverlap="1" wp14:anchorId="1C484178" wp14:editId="1B044D1F">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350E56BB" w14:textId="4DE38489" w:rsidR="00652941" w:rsidRPr="004641D3" w:rsidRDefault="00652941" w:rsidP="00652941">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6D4499" w:rsidRPr="006D4499">
                            <w:rPr>
                              <w:rFonts w:ascii="Montserrat" w:hAnsi="Montserrat" w:cs="Arial"/>
                              <w:bCs/>
                              <w:color w:val="595959" w:themeColor="text1" w:themeTint="A6"/>
                              <w:kern w:val="24"/>
                              <w:sz w:val="12"/>
                              <w:szCs w:val="14"/>
                              <w:lang w:val="en-US"/>
                            </w:rPr>
                            <w:t>GU-GCI-210-001</w:t>
                          </w:r>
                        </w:p>
                        <w:p w14:paraId="02221B14" w14:textId="3EB6E7BF" w:rsidR="00652941" w:rsidRPr="004641D3" w:rsidRDefault="00785181" w:rsidP="00652941">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w:t>
                          </w:r>
                          <w:r w:rsidR="00E154FC">
                            <w:rPr>
                              <w:rFonts w:ascii="Verdana" w:hAnsi="Verdana" w:cs="Arial"/>
                              <w:bCs/>
                              <w:color w:val="595959" w:themeColor="text1" w:themeTint="A6"/>
                              <w:kern w:val="24"/>
                              <w:sz w:val="12"/>
                              <w:szCs w:val="14"/>
                            </w:rPr>
                            <w:t>25</w:t>
                          </w:r>
                          <w:r w:rsidR="00652941" w:rsidRPr="004641D3">
                            <w:rPr>
                              <w:rFonts w:ascii="Verdana" w:hAnsi="Verdana" w:cs="Arial"/>
                              <w:bCs/>
                              <w:color w:val="595959" w:themeColor="text1" w:themeTint="A6"/>
                              <w:kern w:val="24"/>
                              <w:sz w:val="12"/>
                              <w:szCs w:val="14"/>
                            </w:rPr>
                            <w:t>/</w:t>
                          </w:r>
                          <w:r w:rsidR="00E154FC">
                            <w:rPr>
                              <w:rFonts w:ascii="Verdana" w:hAnsi="Verdana" w:cs="Arial"/>
                              <w:bCs/>
                              <w:color w:val="595959" w:themeColor="text1" w:themeTint="A6"/>
                              <w:kern w:val="24"/>
                              <w:sz w:val="12"/>
                              <w:szCs w:val="14"/>
                            </w:rPr>
                            <w:t>10</w:t>
                          </w:r>
                          <w:r w:rsidR="00652941" w:rsidRPr="004641D3">
                            <w:rPr>
                              <w:rFonts w:ascii="Verdana" w:hAnsi="Verdana" w:cs="Arial"/>
                              <w:bCs/>
                              <w:color w:val="595959" w:themeColor="text1" w:themeTint="A6"/>
                              <w:kern w:val="24"/>
                              <w:sz w:val="12"/>
                              <w:szCs w:val="14"/>
                            </w:rPr>
                            <w:t>/202</w:t>
                          </w:r>
                          <w:r w:rsidR="00652941">
                            <w:rPr>
                              <w:rFonts w:ascii="Verdana" w:hAnsi="Verdana" w:cs="Arial"/>
                              <w:bCs/>
                              <w:color w:val="595959" w:themeColor="text1" w:themeTint="A6"/>
                              <w:kern w:val="24"/>
                              <w:sz w:val="12"/>
                              <w:szCs w:val="14"/>
                            </w:rPr>
                            <w:t>4</w:t>
                          </w:r>
                        </w:p>
                        <w:p w14:paraId="71758B41" w14:textId="4F4B6ECC" w:rsidR="00652941" w:rsidRDefault="006D4499" w:rsidP="00652941">
                          <w:pPr>
                            <w:pStyle w:val="NormalWeb"/>
                          </w:pPr>
                          <w:r>
                            <w:rPr>
                              <w:rFonts w:ascii="Verdana" w:hAnsi="Verdana" w:cs="Arial"/>
                              <w:bCs/>
                              <w:color w:val="595959" w:themeColor="text1" w:themeTint="A6"/>
                              <w:kern w:val="24"/>
                              <w:sz w:val="12"/>
                              <w:szCs w:val="14"/>
                            </w:rPr>
                            <w:t>Versión: 04</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C484178"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350E56BB" w14:textId="4DE38489" w:rsidR="00652941" w:rsidRPr="004641D3" w:rsidRDefault="00652941" w:rsidP="00652941">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6D4499" w:rsidRPr="006D4499">
                      <w:rPr>
                        <w:rFonts w:ascii="Montserrat" w:hAnsi="Montserrat" w:cs="Arial"/>
                        <w:bCs/>
                        <w:color w:val="595959" w:themeColor="text1" w:themeTint="A6"/>
                        <w:kern w:val="24"/>
                        <w:sz w:val="12"/>
                        <w:szCs w:val="14"/>
                        <w:lang w:val="en-US"/>
                      </w:rPr>
                      <w:t>GU-GCI-210-001</w:t>
                    </w:r>
                  </w:p>
                  <w:p w14:paraId="02221B14" w14:textId="3EB6E7BF" w:rsidR="00652941" w:rsidRPr="004641D3" w:rsidRDefault="00785181" w:rsidP="00652941">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w:t>
                    </w:r>
                    <w:r w:rsidR="00E154FC">
                      <w:rPr>
                        <w:rFonts w:ascii="Verdana" w:hAnsi="Verdana" w:cs="Arial"/>
                        <w:bCs/>
                        <w:color w:val="595959" w:themeColor="text1" w:themeTint="A6"/>
                        <w:kern w:val="24"/>
                        <w:sz w:val="12"/>
                        <w:szCs w:val="14"/>
                      </w:rPr>
                      <w:t>25</w:t>
                    </w:r>
                    <w:r w:rsidR="00652941" w:rsidRPr="004641D3">
                      <w:rPr>
                        <w:rFonts w:ascii="Verdana" w:hAnsi="Verdana" w:cs="Arial"/>
                        <w:bCs/>
                        <w:color w:val="595959" w:themeColor="text1" w:themeTint="A6"/>
                        <w:kern w:val="24"/>
                        <w:sz w:val="12"/>
                        <w:szCs w:val="14"/>
                      </w:rPr>
                      <w:t>/</w:t>
                    </w:r>
                    <w:r w:rsidR="00E154FC">
                      <w:rPr>
                        <w:rFonts w:ascii="Verdana" w:hAnsi="Verdana" w:cs="Arial"/>
                        <w:bCs/>
                        <w:color w:val="595959" w:themeColor="text1" w:themeTint="A6"/>
                        <w:kern w:val="24"/>
                        <w:sz w:val="12"/>
                        <w:szCs w:val="14"/>
                      </w:rPr>
                      <w:t>10</w:t>
                    </w:r>
                    <w:r w:rsidR="00652941" w:rsidRPr="004641D3">
                      <w:rPr>
                        <w:rFonts w:ascii="Verdana" w:hAnsi="Verdana" w:cs="Arial"/>
                        <w:bCs/>
                        <w:color w:val="595959" w:themeColor="text1" w:themeTint="A6"/>
                        <w:kern w:val="24"/>
                        <w:sz w:val="12"/>
                        <w:szCs w:val="14"/>
                      </w:rPr>
                      <w:t>/202</w:t>
                    </w:r>
                    <w:r w:rsidR="00652941">
                      <w:rPr>
                        <w:rFonts w:ascii="Verdana" w:hAnsi="Verdana" w:cs="Arial"/>
                        <w:bCs/>
                        <w:color w:val="595959" w:themeColor="text1" w:themeTint="A6"/>
                        <w:kern w:val="24"/>
                        <w:sz w:val="12"/>
                        <w:szCs w:val="14"/>
                      </w:rPr>
                      <w:t>4</w:t>
                    </w:r>
                  </w:p>
                  <w:p w14:paraId="71758B41" w14:textId="4F4B6ECC" w:rsidR="00652941" w:rsidRDefault="006D4499" w:rsidP="00652941">
                    <w:pPr>
                      <w:pStyle w:val="NormalWeb"/>
                    </w:pPr>
                    <w:r>
                      <w:rPr>
                        <w:rFonts w:ascii="Verdana" w:hAnsi="Verdana" w:cs="Arial"/>
                        <w:bCs/>
                        <w:color w:val="595959" w:themeColor="text1" w:themeTint="A6"/>
                        <w:kern w:val="24"/>
                        <w:sz w:val="12"/>
                        <w:szCs w:val="14"/>
                      </w:rPr>
                      <w:t>Versión: 04</w:t>
                    </w:r>
                  </w:p>
                </w:txbxContent>
              </v:textbox>
              <w10:wrap anchorx="margin"/>
            </v:shape>
          </w:pict>
        </mc:Fallback>
      </mc:AlternateContent>
    </w:r>
  </w:p>
  <w:p w14:paraId="48067994" w14:textId="77777777" w:rsidR="00652941" w:rsidRDefault="00652941" w:rsidP="00652941">
    <w:pPr>
      <w:pStyle w:val="Piedepgina"/>
    </w:pPr>
  </w:p>
  <w:p w14:paraId="2AB0D465" w14:textId="0E673F4E" w:rsidR="00392618" w:rsidRDefault="00392618" w:rsidP="00392618">
    <w:pPr>
      <w:pStyle w:val="Piedepgina"/>
    </w:pPr>
  </w:p>
  <w:p w14:paraId="29F45281" w14:textId="77777777" w:rsidR="00652941" w:rsidRDefault="00652941"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2535B" w14:textId="77777777" w:rsidR="00842B19" w:rsidRDefault="00842B19" w:rsidP="008B51F5">
      <w:r>
        <w:separator/>
      </w:r>
    </w:p>
  </w:footnote>
  <w:footnote w:type="continuationSeparator" w:id="0">
    <w:p w14:paraId="19A7D637" w14:textId="77777777" w:rsidR="00842B19" w:rsidRDefault="00842B19"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63621" w14:textId="77777777" w:rsidR="00652941" w:rsidRDefault="00652941" w:rsidP="00652941">
    <w:pPr>
      <w:pStyle w:val="Encabezado"/>
      <w:tabs>
        <w:tab w:val="clear" w:pos="4419"/>
        <w:tab w:val="clear" w:pos="8838"/>
        <w:tab w:val="right" w:pos="9072"/>
      </w:tabs>
      <w:ind w:left="-567"/>
    </w:pPr>
    <w:r>
      <w:rPr>
        <w:noProof/>
        <w:lang w:eastAsia="es-CO"/>
      </w:rPr>
      <w:drawing>
        <wp:anchor distT="0" distB="0" distL="114300" distR="114300" simplePos="0" relativeHeight="251678720" behindDoc="0" locked="0" layoutInCell="1" allowOverlap="1" wp14:anchorId="3C26066E" wp14:editId="19D16BE7">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5F9773DE" w14:textId="77777777" w:rsidR="00652941" w:rsidRDefault="00652941" w:rsidP="00652941">
    <w:pPr>
      <w:pStyle w:val="Encabezado"/>
      <w:tabs>
        <w:tab w:val="clear" w:pos="4419"/>
        <w:tab w:val="clear" w:pos="8838"/>
        <w:tab w:val="left" w:pos="7275"/>
      </w:tabs>
      <w:ind w:left="-851"/>
      <w:jc w:val="right"/>
    </w:pPr>
  </w:p>
  <w:p w14:paraId="5044EA5B" w14:textId="77777777" w:rsidR="00652941" w:rsidRDefault="00652941" w:rsidP="00652941">
    <w:pPr>
      <w:pStyle w:val="Encabezado"/>
      <w:tabs>
        <w:tab w:val="clear" w:pos="4419"/>
        <w:tab w:val="clear" w:pos="8838"/>
        <w:tab w:val="left" w:pos="7275"/>
      </w:tabs>
      <w:ind w:left="-851"/>
      <w:jc w:val="right"/>
    </w:pPr>
  </w:p>
  <w:p w14:paraId="7EDF95AC" w14:textId="26AD3A8F" w:rsidR="00652941" w:rsidRDefault="00652941" w:rsidP="00652941">
    <w:pPr>
      <w:pStyle w:val="Encabezado"/>
      <w:tabs>
        <w:tab w:val="clear" w:pos="4419"/>
        <w:tab w:val="clear" w:pos="8838"/>
        <w:tab w:val="left" w:pos="7275"/>
      </w:tabs>
      <w:ind w:left="-851"/>
      <w:jc w:val="right"/>
    </w:pPr>
  </w:p>
  <w:p w14:paraId="5EAC4BC6" w14:textId="3016177A" w:rsidR="00652941" w:rsidRDefault="00652941" w:rsidP="0065294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7696" behindDoc="0" locked="0" layoutInCell="1" allowOverlap="1" wp14:anchorId="12252A67" wp14:editId="58ED7FE3">
              <wp:simplePos x="0" y="0"/>
              <wp:positionH relativeFrom="page">
                <wp:align>center</wp:align>
              </wp:positionH>
              <wp:positionV relativeFrom="paragraph">
                <wp:posOffset>139065</wp:posOffset>
              </wp:positionV>
              <wp:extent cx="3571875" cy="59055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357187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BD9E34" w14:textId="640CFE00" w:rsidR="00652941" w:rsidRPr="00D218F3" w:rsidRDefault="006D4499" w:rsidP="00652941">
                          <w:pPr>
                            <w:jc w:val="center"/>
                            <w:rPr>
                              <w:rFonts w:ascii="Montserrat" w:hAnsi="Montserrat"/>
                              <w:b/>
                              <w:color w:val="767171" w:themeColor="background2" w:themeShade="80"/>
                              <w:sz w:val="22"/>
                            </w:rPr>
                          </w:pPr>
                          <w:r w:rsidRPr="006D4499">
                            <w:rPr>
                              <w:rFonts w:ascii="Verdana" w:hAnsi="Verdana"/>
                              <w:b/>
                              <w:color w:val="767171" w:themeColor="background2" w:themeShade="80"/>
                              <w:sz w:val="22"/>
                            </w:rPr>
                            <w:t>GUÍA PARA INTERPONER RECLAMOS CONTRA LOS SERVICIOS DE VIGILANCIA Y SEGURIDAD PRIVADA</w:t>
                          </w:r>
                        </w:p>
                        <w:p w14:paraId="276AE7AA" w14:textId="77777777" w:rsidR="00652941" w:rsidRPr="004641D3" w:rsidRDefault="00652941" w:rsidP="00652941">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52A67" id="_x0000_t202" coordsize="21600,21600" o:spt="202" path="m,l,21600r21600,l21600,xe">
              <v:stroke joinstyle="miter"/>
              <v:path gradientshapeok="t" o:connecttype="rect"/>
            </v:shapetype>
            <v:shape id="Cuadro de texto 233" o:spid="_x0000_s1026" type="#_x0000_t202" style="position:absolute;left:0;text-align:left;margin-left:0;margin-top:10.95pt;width:281.25pt;height:46.5pt;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" fillcolor="white [3201]" stroked="f" strokeweight=".5pt">
              <v:textbox>
                <w:txbxContent>
                  <w:p w14:paraId="0ABD9E34" w14:textId="640CFE00" w:rsidR="00652941" w:rsidRPr="00D218F3" w:rsidRDefault="006D4499" w:rsidP="00652941">
                    <w:pPr>
                      <w:jc w:val="center"/>
                      <w:rPr>
                        <w:rFonts w:ascii="Montserrat" w:hAnsi="Montserrat"/>
                        <w:b/>
                        <w:color w:val="767171" w:themeColor="background2" w:themeShade="80"/>
                        <w:sz w:val="22"/>
                      </w:rPr>
                    </w:pPr>
                    <w:bookmarkStart w:id="1" w:name="_GoBack"/>
                    <w:r w:rsidRPr="006D4499">
                      <w:rPr>
                        <w:rFonts w:ascii="Verdana" w:hAnsi="Verdana"/>
                        <w:b/>
                        <w:color w:val="767171" w:themeColor="background2" w:themeShade="80"/>
                        <w:sz w:val="22"/>
                      </w:rPr>
                      <w:t>GUÍA PARA INTERPONER RECLAMOS CONTRA LOS SERVICIOS DE VIGILANCIA Y SEGURIDAD PRIVADA</w:t>
                    </w:r>
                  </w:p>
                  <w:bookmarkEnd w:id="1"/>
                  <w:p w14:paraId="276AE7AA" w14:textId="77777777" w:rsidR="00652941" w:rsidRPr="004641D3" w:rsidRDefault="00652941" w:rsidP="00652941">
                    <w:pPr>
                      <w:jc w:val="center"/>
                      <w:rPr>
                        <w:rFonts w:ascii="Verdana" w:hAnsi="Verdana"/>
                        <w:b/>
                        <w:color w:val="767171" w:themeColor="background2" w:themeShade="80"/>
                        <w:sz w:val="20"/>
                      </w:rPr>
                    </w:pPr>
                  </w:p>
                </w:txbxContent>
              </v:textbox>
              <w10:wrap anchorx="page"/>
            </v:shape>
          </w:pict>
        </mc:Fallback>
      </mc:AlternateContent>
    </w:r>
  </w:p>
  <w:p w14:paraId="627DE7E9" w14:textId="7F81C2AB" w:rsidR="00652941" w:rsidRDefault="00652941" w:rsidP="00652941">
    <w:pPr>
      <w:pStyle w:val="Encabezado"/>
      <w:tabs>
        <w:tab w:val="clear" w:pos="4419"/>
        <w:tab w:val="clear" w:pos="8838"/>
        <w:tab w:val="left" w:pos="7275"/>
      </w:tabs>
      <w:ind w:left="-851"/>
      <w:jc w:val="right"/>
    </w:pPr>
  </w:p>
  <w:p w14:paraId="1336BC60" w14:textId="77777777" w:rsidR="00652941" w:rsidRDefault="00652941" w:rsidP="00652941">
    <w:pPr>
      <w:pStyle w:val="Encabezado"/>
      <w:tabs>
        <w:tab w:val="clear" w:pos="4419"/>
        <w:tab w:val="clear" w:pos="8838"/>
        <w:tab w:val="left" w:pos="7275"/>
      </w:tabs>
      <w:ind w:left="-851"/>
      <w:jc w:val="right"/>
    </w:pPr>
  </w:p>
  <w:p w14:paraId="029D1EF7" w14:textId="6C2FD9AB" w:rsidR="000F5FD1" w:rsidRDefault="000F5FD1" w:rsidP="00652941">
    <w:pPr>
      <w:pStyle w:val="Encabezado"/>
      <w:tabs>
        <w:tab w:val="clear" w:pos="4419"/>
        <w:tab w:val="clear" w:pos="8838"/>
        <w:tab w:val="left" w:pos="7275"/>
      </w:tabs>
    </w:pPr>
  </w:p>
  <w:p w14:paraId="6716CF2A" w14:textId="77777777" w:rsidR="000F5FD1" w:rsidRDefault="000F5FD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E85040"/>
    <w:multiLevelType w:val="hybridMultilevel"/>
    <w:tmpl w:val="FBACBF5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BF1E10"/>
    <w:multiLevelType w:val="hybridMultilevel"/>
    <w:tmpl w:val="E116BBA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CA2093"/>
    <w:multiLevelType w:val="hybridMultilevel"/>
    <w:tmpl w:val="D13EB4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50131A"/>
    <w:multiLevelType w:val="hybridMultilevel"/>
    <w:tmpl w:val="FFC61C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C80647"/>
    <w:multiLevelType w:val="hybridMultilevel"/>
    <w:tmpl w:val="DCE4B19C"/>
    <w:lvl w:ilvl="0" w:tplc="E362DA1C">
      <w:start w:val="1"/>
      <w:numFmt w:val="lowerLetter"/>
      <w:lvlText w:val="%1)"/>
      <w:lvlJc w:val="left"/>
      <w:pPr>
        <w:ind w:left="690" w:hanging="360"/>
      </w:pPr>
      <w:rPr>
        <w:rFonts w:hint="default"/>
      </w:rPr>
    </w:lvl>
    <w:lvl w:ilvl="1" w:tplc="240A0019" w:tentative="1">
      <w:start w:val="1"/>
      <w:numFmt w:val="lowerLetter"/>
      <w:lvlText w:val="%2."/>
      <w:lvlJc w:val="left"/>
      <w:pPr>
        <w:ind w:left="1410" w:hanging="360"/>
      </w:pPr>
    </w:lvl>
    <w:lvl w:ilvl="2" w:tplc="240A001B" w:tentative="1">
      <w:start w:val="1"/>
      <w:numFmt w:val="lowerRoman"/>
      <w:lvlText w:val="%3."/>
      <w:lvlJc w:val="right"/>
      <w:pPr>
        <w:ind w:left="2130" w:hanging="180"/>
      </w:pPr>
    </w:lvl>
    <w:lvl w:ilvl="3" w:tplc="240A000F" w:tentative="1">
      <w:start w:val="1"/>
      <w:numFmt w:val="decimal"/>
      <w:lvlText w:val="%4."/>
      <w:lvlJc w:val="left"/>
      <w:pPr>
        <w:ind w:left="2850" w:hanging="360"/>
      </w:pPr>
    </w:lvl>
    <w:lvl w:ilvl="4" w:tplc="240A0019" w:tentative="1">
      <w:start w:val="1"/>
      <w:numFmt w:val="lowerLetter"/>
      <w:lvlText w:val="%5."/>
      <w:lvlJc w:val="left"/>
      <w:pPr>
        <w:ind w:left="3570" w:hanging="360"/>
      </w:pPr>
    </w:lvl>
    <w:lvl w:ilvl="5" w:tplc="240A001B" w:tentative="1">
      <w:start w:val="1"/>
      <w:numFmt w:val="lowerRoman"/>
      <w:lvlText w:val="%6."/>
      <w:lvlJc w:val="right"/>
      <w:pPr>
        <w:ind w:left="4290" w:hanging="180"/>
      </w:pPr>
    </w:lvl>
    <w:lvl w:ilvl="6" w:tplc="240A000F" w:tentative="1">
      <w:start w:val="1"/>
      <w:numFmt w:val="decimal"/>
      <w:lvlText w:val="%7."/>
      <w:lvlJc w:val="left"/>
      <w:pPr>
        <w:ind w:left="5010" w:hanging="360"/>
      </w:pPr>
    </w:lvl>
    <w:lvl w:ilvl="7" w:tplc="240A0019" w:tentative="1">
      <w:start w:val="1"/>
      <w:numFmt w:val="lowerLetter"/>
      <w:lvlText w:val="%8."/>
      <w:lvlJc w:val="left"/>
      <w:pPr>
        <w:ind w:left="5730" w:hanging="360"/>
      </w:pPr>
    </w:lvl>
    <w:lvl w:ilvl="8" w:tplc="240A001B" w:tentative="1">
      <w:start w:val="1"/>
      <w:numFmt w:val="lowerRoman"/>
      <w:lvlText w:val="%9."/>
      <w:lvlJc w:val="right"/>
      <w:pPr>
        <w:ind w:left="6450" w:hanging="180"/>
      </w:pPr>
    </w:lvl>
  </w:abstractNum>
  <w:abstractNum w:abstractNumId="8"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257A35"/>
    <w:multiLevelType w:val="multilevel"/>
    <w:tmpl w:val="1E54E4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074524"/>
    <w:multiLevelType w:val="hybridMultilevel"/>
    <w:tmpl w:val="A172152C"/>
    <w:lvl w:ilvl="0" w:tplc="3AD8C036">
      <w:start w:val="4"/>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4" w15:restartNumberingAfterBreak="0">
    <w:nsid w:val="52E44AB5"/>
    <w:multiLevelType w:val="hybridMultilevel"/>
    <w:tmpl w:val="AC64EB20"/>
    <w:lvl w:ilvl="0" w:tplc="3AD8C036">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E5114D"/>
    <w:multiLevelType w:val="hybridMultilevel"/>
    <w:tmpl w:val="1D6039BE"/>
    <w:lvl w:ilvl="0" w:tplc="240A000F">
      <w:start w:val="1"/>
      <w:numFmt w:val="decimal"/>
      <w:lvlText w:val="%1."/>
      <w:lvlJc w:val="left"/>
      <w:pPr>
        <w:ind w:left="1069"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DAF1C62"/>
    <w:multiLevelType w:val="hybridMultilevel"/>
    <w:tmpl w:val="03785A54"/>
    <w:lvl w:ilvl="0" w:tplc="85A20AD6">
      <w:numFmt w:val="bullet"/>
      <w:lvlText w:val="-"/>
      <w:lvlJc w:val="left"/>
      <w:pPr>
        <w:ind w:left="720" w:hanging="360"/>
      </w:pPr>
      <w:rPr>
        <w:rFonts w:ascii="Bookman Old Style" w:eastAsia="Calibri" w:hAnsi="Bookman Old Style"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1C9713F"/>
    <w:multiLevelType w:val="hybridMultilevel"/>
    <w:tmpl w:val="EC16C5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99E70CD"/>
    <w:multiLevelType w:val="hybridMultilevel"/>
    <w:tmpl w:val="5020611A"/>
    <w:lvl w:ilvl="0" w:tplc="3AD8C036">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13"/>
  </w:num>
  <w:num w:numId="5">
    <w:abstractNumId w:val="9"/>
  </w:num>
  <w:num w:numId="6">
    <w:abstractNumId w:val="3"/>
  </w:num>
  <w:num w:numId="7">
    <w:abstractNumId w:val="8"/>
  </w:num>
  <w:num w:numId="8">
    <w:abstractNumId w:val="12"/>
  </w:num>
  <w:num w:numId="9">
    <w:abstractNumId w:val="11"/>
  </w:num>
  <w:num w:numId="10">
    <w:abstractNumId w:val="19"/>
  </w:num>
  <w:num w:numId="11">
    <w:abstractNumId w:val="14"/>
  </w:num>
  <w:num w:numId="12">
    <w:abstractNumId w:val="10"/>
  </w:num>
  <w:num w:numId="13">
    <w:abstractNumId w:val="15"/>
  </w:num>
  <w:num w:numId="14">
    <w:abstractNumId w:val="17"/>
  </w:num>
  <w:num w:numId="15">
    <w:abstractNumId w:val="2"/>
  </w:num>
  <w:num w:numId="16">
    <w:abstractNumId w:val="18"/>
  </w:num>
  <w:num w:numId="17">
    <w:abstractNumId w:val="5"/>
  </w:num>
  <w:num w:numId="18">
    <w:abstractNumId w:val="4"/>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A1B59"/>
    <w:rsid w:val="000C329A"/>
    <w:rsid w:val="000F5FD1"/>
    <w:rsid w:val="00115C16"/>
    <w:rsid w:val="001359AE"/>
    <w:rsid w:val="00137E8A"/>
    <w:rsid w:val="001D7CFC"/>
    <w:rsid w:val="001F1E8E"/>
    <w:rsid w:val="0021231E"/>
    <w:rsid w:val="00252B69"/>
    <w:rsid w:val="002F1AF1"/>
    <w:rsid w:val="00315119"/>
    <w:rsid w:val="003507A4"/>
    <w:rsid w:val="00354A7F"/>
    <w:rsid w:val="003602F8"/>
    <w:rsid w:val="00361B78"/>
    <w:rsid w:val="003673DF"/>
    <w:rsid w:val="00392618"/>
    <w:rsid w:val="0039722C"/>
    <w:rsid w:val="003A6674"/>
    <w:rsid w:val="003B4311"/>
    <w:rsid w:val="003C08B3"/>
    <w:rsid w:val="003E0E1B"/>
    <w:rsid w:val="00433C82"/>
    <w:rsid w:val="00453C12"/>
    <w:rsid w:val="004723EA"/>
    <w:rsid w:val="0048742D"/>
    <w:rsid w:val="004A7B69"/>
    <w:rsid w:val="004C6193"/>
    <w:rsid w:val="00502E6B"/>
    <w:rsid w:val="00517F41"/>
    <w:rsid w:val="005352B6"/>
    <w:rsid w:val="00544409"/>
    <w:rsid w:val="00553562"/>
    <w:rsid w:val="005664AF"/>
    <w:rsid w:val="00584FDA"/>
    <w:rsid w:val="005A4964"/>
    <w:rsid w:val="005D712D"/>
    <w:rsid w:val="005F3176"/>
    <w:rsid w:val="00615F4A"/>
    <w:rsid w:val="00616255"/>
    <w:rsid w:val="00624E1B"/>
    <w:rsid w:val="00635A9D"/>
    <w:rsid w:val="00652941"/>
    <w:rsid w:val="00691730"/>
    <w:rsid w:val="0069785C"/>
    <w:rsid w:val="006A0D58"/>
    <w:rsid w:val="006C2ED6"/>
    <w:rsid w:val="006D4499"/>
    <w:rsid w:val="006D4BAB"/>
    <w:rsid w:val="006E2693"/>
    <w:rsid w:val="00740CD4"/>
    <w:rsid w:val="00752BBC"/>
    <w:rsid w:val="00780122"/>
    <w:rsid w:val="00785181"/>
    <w:rsid w:val="007B7197"/>
    <w:rsid w:val="007C4D8B"/>
    <w:rsid w:val="007F02DE"/>
    <w:rsid w:val="00800838"/>
    <w:rsid w:val="00842B19"/>
    <w:rsid w:val="008A795A"/>
    <w:rsid w:val="008B3812"/>
    <w:rsid w:val="008B51F5"/>
    <w:rsid w:val="008D0C22"/>
    <w:rsid w:val="00901B26"/>
    <w:rsid w:val="00950324"/>
    <w:rsid w:val="009821FB"/>
    <w:rsid w:val="00A2048E"/>
    <w:rsid w:val="00A30CF1"/>
    <w:rsid w:val="00A50418"/>
    <w:rsid w:val="00A74B90"/>
    <w:rsid w:val="00A75278"/>
    <w:rsid w:val="00AA05A7"/>
    <w:rsid w:val="00AA3F20"/>
    <w:rsid w:val="00AF746E"/>
    <w:rsid w:val="00B42D45"/>
    <w:rsid w:val="00B663D7"/>
    <w:rsid w:val="00B91859"/>
    <w:rsid w:val="00BC5368"/>
    <w:rsid w:val="00BE1E4E"/>
    <w:rsid w:val="00BF513B"/>
    <w:rsid w:val="00C40277"/>
    <w:rsid w:val="00C44C64"/>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154FC"/>
    <w:rsid w:val="00E62C73"/>
    <w:rsid w:val="00EA2436"/>
    <w:rsid w:val="00ED758D"/>
    <w:rsid w:val="00F21F19"/>
    <w:rsid w:val="00FD125F"/>
    <w:rsid w:val="00FD67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BC5368"/>
    <w:pPr>
      <w:keepNext/>
      <w:suppressAutoHyphens/>
      <w:autoSpaceDN w:val="0"/>
      <w:spacing w:before="240" w:after="60"/>
      <w:textAlignment w:val="baseline"/>
      <w:outlineLvl w:val="1"/>
    </w:pPr>
    <w:rPr>
      <w:rFonts w:ascii="Cambria" w:eastAsia="Times New Roman" w:hAnsi="Cambria" w:cs="Times New Roman"/>
      <w:b/>
      <w:bCs/>
      <w:i/>
      <w:iCs/>
      <w:sz w:val="28"/>
      <w:szCs w:val="28"/>
      <w:lang w:eastAsia="es-CO"/>
    </w:rPr>
  </w:style>
  <w:style w:type="paragraph" w:styleId="Ttulo3">
    <w:name w:val="heading 3"/>
    <w:basedOn w:val="Normal"/>
    <w:next w:val="Normal"/>
    <w:link w:val="Ttulo3Car"/>
    <w:uiPriority w:val="9"/>
    <w:unhideWhenUsed/>
    <w:qFormat/>
    <w:rsid w:val="00BC5368"/>
    <w:pPr>
      <w:keepNext/>
      <w:suppressAutoHyphens/>
      <w:autoSpaceDN w:val="0"/>
      <w:spacing w:before="240" w:after="60"/>
      <w:textAlignment w:val="baseline"/>
      <w:outlineLvl w:val="2"/>
    </w:pPr>
    <w:rPr>
      <w:rFonts w:ascii="Cambria" w:eastAsia="Times New Roman" w:hAnsi="Cambria" w:cs="Times New Roman"/>
      <w:b/>
      <w:bCs/>
      <w:sz w:val="26"/>
      <w:szCs w:val="26"/>
      <w:lang w:eastAsia="es-CO"/>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w:basedOn w:val="Normal"/>
    <w:link w:val="EncabezadoCar"/>
    <w:unhideWhenUsed/>
    <w:rsid w:val="008B51F5"/>
    <w:pPr>
      <w:tabs>
        <w:tab w:val="center" w:pos="4419"/>
        <w:tab w:val="right" w:pos="8838"/>
      </w:tabs>
    </w:pPr>
  </w:style>
  <w:style w:type="character" w:customStyle="1" w:styleId="EncabezadoCar">
    <w:name w:val="Encabezado Car"/>
    <w:aliases w:val="AL Encabezado Car,Encabezado AL Car,h Car,h8 Car,h9 Car,h10 Car,h18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2Car">
    <w:name w:val="Título 2 Car"/>
    <w:basedOn w:val="Fuentedeprrafopredeter"/>
    <w:link w:val="Ttulo2"/>
    <w:uiPriority w:val="9"/>
    <w:rsid w:val="00BC5368"/>
    <w:rPr>
      <w:rFonts w:ascii="Cambria" w:eastAsia="Times New Roman" w:hAnsi="Cambria" w:cs="Times New Roman"/>
      <w:b/>
      <w:bCs/>
      <w:i/>
      <w:iCs/>
      <w:sz w:val="28"/>
      <w:szCs w:val="28"/>
      <w:lang w:eastAsia="es-CO"/>
    </w:rPr>
  </w:style>
  <w:style w:type="character" w:customStyle="1" w:styleId="Ttulo3Car">
    <w:name w:val="Título 3 Car"/>
    <w:basedOn w:val="Fuentedeprrafopredeter"/>
    <w:link w:val="Ttulo3"/>
    <w:uiPriority w:val="9"/>
    <w:rsid w:val="00BC5368"/>
    <w:rPr>
      <w:rFonts w:ascii="Cambria" w:eastAsia="Times New Roman" w:hAnsi="Cambria" w:cs="Times New Roman"/>
      <w:b/>
      <w:bCs/>
      <w:sz w:val="26"/>
      <w:szCs w:val="26"/>
      <w:lang w:eastAsia="es-CO"/>
    </w:rPr>
  </w:style>
  <w:style w:type="character" w:styleId="Hipervnculo">
    <w:name w:val="Hyperlink"/>
    <w:uiPriority w:val="99"/>
    <w:rsid w:val="00BC5368"/>
    <w:rPr>
      <w:color w:val="0000FF"/>
      <w:u w:val="single"/>
    </w:rPr>
  </w:style>
  <w:style w:type="paragraph" w:styleId="TDC2">
    <w:name w:val="toc 2"/>
    <w:basedOn w:val="Normal"/>
    <w:next w:val="Normal"/>
    <w:autoRedefine/>
    <w:uiPriority w:val="39"/>
    <w:unhideWhenUsed/>
    <w:rsid w:val="00BC5368"/>
    <w:pPr>
      <w:tabs>
        <w:tab w:val="left" w:pos="440"/>
        <w:tab w:val="right" w:leader="dot" w:pos="8828"/>
      </w:tabs>
      <w:suppressAutoHyphens/>
      <w:autoSpaceDN w:val="0"/>
      <w:spacing w:before="240"/>
      <w:jc w:val="both"/>
      <w:textAlignment w:val="baseline"/>
    </w:pPr>
    <w:rPr>
      <w:rFonts w:ascii="Calibri" w:eastAsia="Calibri" w:hAnsi="Calibri" w:cs="Calibri"/>
      <w:b/>
      <w:bCs/>
      <w:sz w:val="20"/>
      <w:szCs w:val="20"/>
      <w:lang w:eastAsia="es-CO"/>
    </w:rPr>
  </w:style>
  <w:style w:type="paragraph" w:styleId="TDC3">
    <w:name w:val="toc 3"/>
    <w:basedOn w:val="Normal"/>
    <w:next w:val="Normal"/>
    <w:autoRedefine/>
    <w:uiPriority w:val="39"/>
    <w:unhideWhenUsed/>
    <w:rsid w:val="00BC5368"/>
    <w:pPr>
      <w:tabs>
        <w:tab w:val="left" w:pos="1100"/>
        <w:tab w:val="right" w:leader="dot" w:pos="8828"/>
      </w:tabs>
      <w:suppressAutoHyphens/>
      <w:autoSpaceDN w:val="0"/>
      <w:ind w:left="440"/>
      <w:jc w:val="both"/>
      <w:textAlignment w:val="baseline"/>
    </w:pPr>
    <w:rPr>
      <w:rFonts w:ascii="Calibri" w:eastAsia="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A7821-A7E8-4DAA-BC28-B2E38E5F9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B3B53-2A78-40F6-A1AE-092F8D6B0701}">
  <ds:schemaRefs>
    <ds:schemaRef ds:uri="http://schemas.microsoft.com/sharepoint/v3/contenttype/forms"/>
  </ds:schemaRefs>
</ds:datastoreItem>
</file>

<file path=customXml/itemProps3.xml><?xml version="1.0" encoding="utf-8"?>
<ds:datastoreItem xmlns:ds="http://schemas.openxmlformats.org/officeDocument/2006/customXml" ds:itemID="{9A7213AD-682E-4BD6-B471-9ACDF8F62EAC}">
  <ds:schemaRefs>
    <ds:schemaRef ds:uri="b49b89f4-0ed5-4482-97b6-569a6d01874a"/>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1191a67e-9fca-4f62-a93e-e1762bfba193"/>
  </ds:schemaRefs>
</ds:datastoreItem>
</file>

<file path=customXml/itemProps4.xml><?xml version="1.0" encoding="utf-8"?>
<ds:datastoreItem xmlns:ds="http://schemas.openxmlformats.org/officeDocument/2006/customXml" ds:itemID="{B098CE37-06C8-4EE7-ADCF-4F95A7ED1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2024-10-25T15:36:00Z</dcterms:created>
  <dcterms:modified xsi:type="dcterms:W3CDTF">2024-10-25T15:36:00Z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