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8D5C4" w14:textId="77777777" w:rsidR="00AE257D" w:rsidRDefault="00AE257D" w:rsidP="00AE257D">
      <w:pPr>
        <w:spacing w:after="240"/>
        <w:rPr>
          <w:rFonts w:ascii="Verdana" w:hAnsi="Verdana" w:cs="Arial"/>
          <w:b/>
          <w:sz w:val="22"/>
          <w:szCs w:val="22"/>
          <w:lang w:val="es-MX"/>
        </w:rPr>
      </w:pPr>
    </w:p>
    <w:p w14:paraId="34CDA2E2" w14:textId="77777777" w:rsidR="00AE257D" w:rsidRDefault="00AE257D" w:rsidP="00AE257D">
      <w:pPr>
        <w:spacing w:after="240"/>
        <w:rPr>
          <w:rFonts w:ascii="Verdana" w:hAnsi="Verdana" w:cs="Arial"/>
          <w:b/>
          <w:sz w:val="22"/>
          <w:szCs w:val="22"/>
          <w:lang w:val="es-MX"/>
        </w:rPr>
      </w:pPr>
    </w:p>
    <w:p w14:paraId="4FEE9A68" w14:textId="77777777" w:rsidR="00AE257D" w:rsidRDefault="00AE257D" w:rsidP="00AE257D">
      <w:pPr>
        <w:spacing w:after="240"/>
        <w:rPr>
          <w:rFonts w:ascii="Verdana" w:hAnsi="Verdana" w:cs="Arial"/>
          <w:b/>
          <w:sz w:val="22"/>
          <w:szCs w:val="22"/>
          <w:lang w:val="es-MX"/>
        </w:rPr>
      </w:pPr>
    </w:p>
    <w:p w14:paraId="0FA66D9D" w14:textId="77777777" w:rsidR="00AE257D" w:rsidRDefault="00AE257D" w:rsidP="00AE257D">
      <w:pPr>
        <w:spacing w:after="240"/>
        <w:rPr>
          <w:rFonts w:ascii="Verdana" w:hAnsi="Verdana" w:cs="Arial"/>
          <w:b/>
          <w:sz w:val="22"/>
          <w:szCs w:val="22"/>
          <w:lang w:val="es-MX"/>
        </w:rPr>
      </w:pPr>
    </w:p>
    <w:p w14:paraId="7EC7CDBD" w14:textId="77777777" w:rsidR="00AE257D" w:rsidRPr="00617AE9" w:rsidRDefault="00AE257D" w:rsidP="00AE257D">
      <w:pPr>
        <w:spacing w:after="240"/>
        <w:rPr>
          <w:rFonts w:ascii="Verdana" w:hAnsi="Verdana" w:cs="Arial"/>
          <w:b/>
          <w:sz w:val="22"/>
          <w:szCs w:val="22"/>
          <w:lang w:val="es-MX"/>
        </w:rPr>
      </w:pPr>
    </w:p>
    <w:p w14:paraId="64C03FD6" w14:textId="77777777" w:rsidR="00D94A8F" w:rsidRPr="00617AE9" w:rsidRDefault="00D94A8F" w:rsidP="00AE257D">
      <w:pPr>
        <w:spacing w:after="240"/>
        <w:rPr>
          <w:rFonts w:ascii="Verdana" w:hAnsi="Verdana" w:cs="Arial"/>
          <w:b/>
          <w:sz w:val="22"/>
          <w:szCs w:val="22"/>
          <w:lang w:val="es-MX"/>
        </w:rPr>
      </w:pPr>
    </w:p>
    <w:p w14:paraId="3E5DDA45" w14:textId="77777777" w:rsidR="00D94A8F" w:rsidRPr="00617AE9" w:rsidRDefault="00D94A8F" w:rsidP="00AE257D">
      <w:pPr>
        <w:pStyle w:val="Encabezado"/>
        <w:spacing w:after="240"/>
        <w:jc w:val="center"/>
        <w:rPr>
          <w:rFonts w:ascii="Verdana" w:hAnsi="Verdana" w:cs="Arial"/>
          <w:b/>
          <w:sz w:val="22"/>
          <w:szCs w:val="22"/>
        </w:rPr>
      </w:pPr>
    </w:p>
    <w:p w14:paraId="318B67A1" w14:textId="77777777" w:rsidR="00D94A8F" w:rsidRPr="00617AE9" w:rsidRDefault="00D94A8F" w:rsidP="00AE257D">
      <w:pPr>
        <w:spacing w:after="240" w:line="276" w:lineRule="auto"/>
        <w:jc w:val="center"/>
        <w:rPr>
          <w:rFonts w:ascii="Verdana" w:hAnsi="Verdana" w:cs="Arial"/>
          <w:b/>
          <w:bCs/>
          <w:sz w:val="22"/>
          <w:szCs w:val="22"/>
        </w:rPr>
      </w:pPr>
      <w:r w:rsidRPr="00617AE9">
        <w:rPr>
          <w:rFonts w:ascii="Verdana" w:hAnsi="Verdana" w:cs="Arial"/>
          <w:b/>
          <w:bCs/>
          <w:sz w:val="22"/>
          <w:szCs w:val="22"/>
        </w:rPr>
        <w:t>SUPERINTENDENCIA DE VIGILANCIA Y SEGURIDAD PRIVADA</w:t>
      </w:r>
    </w:p>
    <w:p w14:paraId="4C1347CE" w14:textId="77777777" w:rsidR="00D94A8F" w:rsidRPr="00617AE9" w:rsidRDefault="00D94A8F" w:rsidP="00AE257D">
      <w:pPr>
        <w:spacing w:after="240" w:line="276" w:lineRule="auto"/>
        <w:jc w:val="center"/>
        <w:rPr>
          <w:rFonts w:ascii="Verdana" w:hAnsi="Verdana" w:cs="Arial"/>
          <w:b/>
          <w:bCs/>
          <w:sz w:val="22"/>
          <w:szCs w:val="22"/>
        </w:rPr>
      </w:pPr>
      <w:r w:rsidRPr="00617AE9">
        <w:rPr>
          <w:rFonts w:ascii="Verdana" w:hAnsi="Verdana" w:cs="Arial"/>
          <w:b/>
          <w:bCs/>
          <w:sz w:val="22"/>
          <w:szCs w:val="22"/>
        </w:rPr>
        <w:t>NIT. 800217123-2</w:t>
      </w:r>
    </w:p>
    <w:p w14:paraId="1AB68C25" w14:textId="77777777" w:rsidR="00D94A8F" w:rsidRPr="00617AE9" w:rsidRDefault="00D94A8F" w:rsidP="00AE257D">
      <w:pPr>
        <w:spacing w:after="240"/>
        <w:jc w:val="center"/>
        <w:rPr>
          <w:rFonts w:ascii="Verdana" w:hAnsi="Verdana" w:cs="Arial"/>
          <w:b/>
          <w:sz w:val="22"/>
          <w:szCs w:val="22"/>
        </w:rPr>
      </w:pPr>
    </w:p>
    <w:p w14:paraId="682B26E7" w14:textId="77777777" w:rsidR="00D94A8F" w:rsidRPr="00617AE9" w:rsidRDefault="00D94A8F" w:rsidP="00AE257D">
      <w:pPr>
        <w:spacing w:after="240"/>
        <w:jc w:val="center"/>
        <w:rPr>
          <w:rFonts w:ascii="Verdana" w:hAnsi="Verdana" w:cs="Arial"/>
          <w:b/>
          <w:sz w:val="22"/>
          <w:szCs w:val="22"/>
        </w:rPr>
      </w:pPr>
    </w:p>
    <w:p w14:paraId="2BAC4598" w14:textId="77777777" w:rsidR="00D94A8F" w:rsidRPr="00617AE9" w:rsidRDefault="00D94A8F" w:rsidP="00AE257D">
      <w:pPr>
        <w:spacing w:after="240"/>
        <w:jc w:val="center"/>
        <w:rPr>
          <w:rFonts w:ascii="Verdana" w:hAnsi="Verdana" w:cs="Arial"/>
          <w:b/>
          <w:sz w:val="22"/>
          <w:szCs w:val="22"/>
        </w:rPr>
      </w:pPr>
    </w:p>
    <w:p w14:paraId="0AF6B1EA" w14:textId="77777777" w:rsidR="00D94A8F" w:rsidRPr="00617AE9" w:rsidRDefault="00D94A8F" w:rsidP="00AE257D">
      <w:pPr>
        <w:spacing w:after="240"/>
        <w:jc w:val="center"/>
        <w:rPr>
          <w:rFonts w:ascii="Verdana" w:hAnsi="Verdana" w:cs="Arial"/>
          <w:b/>
          <w:sz w:val="22"/>
          <w:szCs w:val="22"/>
        </w:rPr>
      </w:pPr>
    </w:p>
    <w:p w14:paraId="3346B796" w14:textId="77777777" w:rsidR="00D94A8F" w:rsidRPr="00617AE9" w:rsidRDefault="00D94A8F" w:rsidP="00AE257D">
      <w:pPr>
        <w:spacing w:after="240"/>
        <w:jc w:val="center"/>
        <w:rPr>
          <w:rFonts w:ascii="Verdana" w:hAnsi="Verdana" w:cs="Arial"/>
          <w:b/>
          <w:sz w:val="22"/>
          <w:szCs w:val="22"/>
        </w:rPr>
      </w:pPr>
    </w:p>
    <w:p w14:paraId="3AFDC2E5" w14:textId="77777777" w:rsidR="00D94A8F" w:rsidRPr="00617AE9" w:rsidRDefault="00D94A8F" w:rsidP="00AE257D">
      <w:pPr>
        <w:spacing w:after="240"/>
        <w:jc w:val="center"/>
        <w:rPr>
          <w:rFonts w:ascii="Verdana" w:hAnsi="Verdana" w:cs="Arial"/>
          <w:b/>
          <w:sz w:val="22"/>
          <w:szCs w:val="22"/>
        </w:rPr>
      </w:pPr>
    </w:p>
    <w:p w14:paraId="342A9705" w14:textId="77777777" w:rsidR="00D94A8F" w:rsidRPr="00617AE9" w:rsidRDefault="00D94A8F" w:rsidP="00AE257D">
      <w:pPr>
        <w:spacing w:after="240"/>
        <w:jc w:val="center"/>
        <w:rPr>
          <w:rFonts w:ascii="Verdana" w:hAnsi="Verdana" w:cs="Arial"/>
          <w:b/>
          <w:sz w:val="22"/>
          <w:szCs w:val="22"/>
        </w:rPr>
      </w:pPr>
    </w:p>
    <w:p w14:paraId="60F06DC3" w14:textId="77777777" w:rsidR="00D94A8F" w:rsidRPr="00617AE9" w:rsidRDefault="00D94A8F" w:rsidP="00AE257D">
      <w:pPr>
        <w:spacing w:after="240"/>
        <w:jc w:val="center"/>
        <w:rPr>
          <w:rFonts w:ascii="Verdana" w:hAnsi="Verdana" w:cs="Arial"/>
          <w:b/>
          <w:sz w:val="22"/>
          <w:szCs w:val="22"/>
        </w:rPr>
      </w:pPr>
    </w:p>
    <w:p w14:paraId="02AFAE9B" w14:textId="77777777" w:rsidR="00D94A8F" w:rsidRPr="00617AE9" w:rsidRDefault="00D94A8F" w:rsidP="00AE257D">
      <w:pPr>
        <w:spacing w:after="240"/>
        <w:jc w:val="center"/>
        <w:rPr>
          <w:rFonts w:ascii="Verdana" w:hAnsi="Verdana" w:cs="Arial"/>
          <w:b/>
          <w:sz w:val="22"/>
          <w:szCs w:val="22"/>
        </w:rPr>
      </w:pPr>
      <w:r w:rsidRPr="00617AE9">
        <w:rPr>
          <w:rFonts w:ascii="Verdana" w:hAnsi="Verdana" w:cs="Arial"/>
          <w:b/>
          <w:sz w:val="22"/>
          <w:szCs w:val="22"/>
        </w:rPr>
        <w:t xml:space="preserve">SISTEMA DE GESTIÓN DE SEGURIDAD Y SALUD EN EL TRABAJO </w:t>
      </w:r>
    </w:p>
    <w:p w14:paraId="1A707C3A" w14:textId="77777777" w:rsidR="00AE257D" w:rsidRDefault="00AE257D" w:rsidP="00AE257D">
      <w:pPr>
        <w:spacing w:after="240"/>
        <w:rPr>
          <w:rFonts w:ascii="Verdana" w:hAnsi="Verdana" w:cs="Arial"/>
          <w:b/>
          <w:sz w:val="22"/>
          <w:szCs w:val="22"/>
        </w:rPr>
      </w:pPr>
      <w:r>
        <w:rPr>
          <w:rFonts w:ascii="Verdana" w:hAnsi="Verdana" w:cs="Arial"/>
          <w:b/>
          <w:sz w:val="22"/>
          <w:szCs w:val="22"/>
        </w:rPr>
        <w:br w:type="page"/>
      </w:r>
    </w:p>
    <w:p w14:paraId="328E91BA" w14:textId="522CC438" w:rsidR="00D94A8F" w:rsidRPr="00617AE9" w:rsidRDefault="00D94A8F" w:rsidP="00AE257D">
      <w:pPr>
        <w:keepNext/>
        <w:keepLines/>
        <w:spacing w:before="240" w:after="240" w:line="259" w:lineRule="auto"/>
        <w:jc w:val="center"/>
        <w:rPr>
          <w:rFonts w:ascii="Verdana" w:eastAsia="Times New Roman" w:hAnsi="Verdana" w:cs="Times New Roman"/>
          <w:b/>
          <w:sz w:val="22"/>
          <w:szCs w:val="22"/>
          <w:lang w:val="es-ES"/>
        </w:rPr>
      </w:pPr>
      <w:r w:rsidRPr="00617AE9">
        <w:rPr>
          <w:rFonts w:ascii="Verdana" w:eastAsia="Times New Roman" w:hAnsi="Verdana" w:cs="Times New Roman"/>
          <w:b/>
          <w:sz w:val="22"/>
          <w:szCs w:val="22"/>
          <w:lang w:val="es-ES"/>
        </w:rPr>
        <w:lastRenderedPageBreak/>
        <w:t>Tabla de Contenido</w:t>
      </w:r>
    </w:p>
    <w:p w14:paraId="3E4A2690" w14:textId="77777777" w:rsidR="00D94A8F" w:rsidRPr="00617AE9" w:rsidRDefault="00D94A8F" w:rsidP="00AE257D">
      <w:pPr>
        <w:pStyle w:val="TDC2"/>
        <w:tabs>
          <w:tab w:val="right" w:leader="dot" w:pos="8828"/>
        </w:tabs>
        <w:spacing w:after="240"/>
        <w:rPr>
          <w:rFonts w:ascii="Verdana" w:eastAsia="Times New Roman" w:hAnsi="Verdana" w:cs="Times New Roman"/>
          <w:noProof/>
        </w:rPr>
      </w:pPr>
      <w:r w:rsidRPr="00617AE9">
        <w:rPr>
          <w:rFonts w:ascii="Verdana" w:hAnsi="Verdana"/>
        </w:rPr>
        <w:fldChar w:fldCharType="begin"/>
      </w:r>
      <w:r w:rsidRPr="00617AE9">
        <w:rPr>
          <w:rFonts w:ascii="Verdana" w:hAnsi="Verdana"/>
        </w:rPr>
        <w:instrText xml:space="preserve"> TOC \o "1-3" \h \z \u </w:instrText>
      </w:r>
      <w:r w:rsidRPr="00617AE9">
        <w:rPr>
          <w:rFonts w:ascii="Verdana" w:hAnsi="Verdana"/>
        </w:rPr>
        <w:fldChar w:fldCharType="separate"/>
      </w:r>
      <w:hyperlink w:anchor="_Toc73035926" w:history="1">
        <w:r w:rsidRPr="00617AE9">
          <w:rPr>
            <w:rStyle w:val="Hipervnculo"/>
            <w:rFonts w:ascii="Verdana" w:hAnsi="Verdana" w:cs="Arial"/>
            <w:noProof/>
            <w:color w:val="auto"/>
            <w:lang w:val="es" w:eastAsia="ar-SA"/>
          </w:rPr>
          <w:t>1.</w:t>
        </w:r>
        <w:r w:rsidRPr="00617AE9">
          <w:rPr>
            <w:rFonts w:ascii="Verdana" w:eastAsia="Times New Roman" w:hAnsi="Verdana" w:cs="Times New Roman"/>
            <w:noProof/>
          </w:rPr>
          <w:tab/>
        </w:r>
        <w:r w:rsidRPr="00617AE9">
          <w:rPr>
            <w:rStyle w:val="Hipervnculo"/>
            <w:rFonts w:ascii="Verdana" w:hAnsi="Verdana" w:cs="Arial"/>
            <w:noProof/>
            <w:color w:val="auto"/>
            <w:lang w:val="es" w:eastAsia="ar-SA"/>
          </w:rPr>
          <w:t>OBJETIVO</w:t>
        </w:r>
        <w:r w:rsidRPr="00617AE9">
          <w:rPr>
            <w:rFonts w:ascii="Verdana" w:hAnsi="Verdana"/>
            <w:noProof/>
            <w:webHidden/>
          </w:rPr>
          <w:tab/>
        </w:r>
        <w:r w:rsidRPr="00617AE9">
          <w:rPr>
            <w:rFonts w:ascii="Verdana" w:hAnsi="Verdana"/>
            <w:noProof/>
            <w:webHidden/>
          </w:rPr>
          <w:fldChar w:fldCharType="begin"/>
        </w:r>
        <w:r w:rsidRPr="00617AE9">
          <w:rPr>
            <w:rFonts w:ascii="Verdana" w:hAnsi="Verdana"/>
            <w:noProof/>
            <w:webHidden/>
          </w:rPr>
          <w:instrText xml:space="preserve"> PAGEREF _Toc73035926 \h </w:instrText>
        </w:r>
        <w:r w:rsidRPr="00617AE9">
          <w:rPr>
            <w:rFonts w:ascii="Verdana" w:hAnsi="Verdana"/>
            <w:noProof/>
            <w:webHidden/>
          </w:rPr>
        </w:r>
        <w:r w:rsidRPr="00617AE9">
          <w:rPr>
            <w:rFonts w:ascii="Verdana" w:hAnsi="Verdana"/>
            <w:noProof/>
            <w:webHidden/>
          </w:rPr>
          <w:fldChar w:fldCharType="separate"/>
        </w:r>
        <w:r w:rsidR="00CD1132">
          <w:rPr>
            <w:rFonts w:ascii="Verdana" w:hAnsi="Verdana"/>
            <w:noProof/>
            <w:webHidden/>
          </w:rPr>
          <w:t>3</w:t>
        </w:r>
        <w:r w:rsidRPr="00617AE9">
          <w:rPr>
            <w:rFonts w:ascii="Verdana" w:hAnsi="Verdana"/>
            <w:noProof/>
            <w:webHidden/>
          </w:rPr>
          <w:fldChar w:fldCharType="end"/>
        </w:r>
      </w:hyperlink>
    </w:p>
    <w:p w14:paraId="3DB62CF1" w14:textId="77777777" w:rsidR="00D94A8F" w:rsidRPr="00617AE9" w:rsidRDefault="0071169A" w:rsidP="00AE257D">
      <w:pPr>
        <w:pStyle w:val="TDC2"/>
        <w:tabs>
          <w:tab w:val="right" w:leader="dot" w:pos="8828"/>
        </w:tabs>
        <w:spacing w:after="240"/>
        <w:rPr>
          <w:rFonts w:ascii="Verdana" w:eastAsia="Times New Roman" w:hAnsi="Verdana" w:cs="Times New Roman"/>
          <w:noProof/>
        </w:rPr>
      </w:pPr>
      <w:hyperlink w:anchor="_Toc73035927" w:history="1">
        <w:r w:rsidR="00D94A8F" w:rsidRPr="00617AE9">
          <w:rPr>
            <w:rStyle w:val="Hipervnculo"/>
            <w:rFonts w:ascii="Verdana" w:hAnsi="Verdana" w:cs="Arial"/>
            <w:noProof/>
            <w:color w:val="auto"/>
            <w:lang w:val="es" w:eastAsia="ar-SA"/>
          </w:rPr>
          <w:t>2.</w:t>
        </w:r>
        <w:r w:rsidR="00D94A8F" w:rsidRPr="00617AE9">
          <w:rPr>
            <w:rFonts w:ascii="Verdana" w:eastAsia="Times New Roman" w:hAnsi="Verdana" w:cs="Times New Roman"/>
            <w:noProof/>
          </w:rPr>
          <w:tab/>
        </w:r>
        <w:r w:rsidR="00D94A8F" w:rsidRPr="00617AE9">
          <w:rPr>
            <w:rStyle w:val="Hipervnculo"/>
            <w:rFonts w:ascii="Verdana" w:hAnsi="Verdana" w:cs="Arial"/>
            <w:noProof/>
            <w:color w:val="auto"/>
            <w:lang w:val="es" w:eastAsia="ar-SA"/>
          </w:rPr>
          <w:t>ALCANCE</w:t>
        </w:r>
        <w:r w:rsidR="00D94A8F" w:rsidRPr="00617AE9">
          <w:rPr>
            <w:rFonts w:ascii="Verdana" w:hAnsi="Verdana"/>
            <w:noProof/>
            <w:webHidden/>
          </w:rPr>
          <w:tab/>
        </w:r>
        <w:r w:rsidR="00D94A8F" w:rsidRPr="00617AE9">
          <w:rPr>
            <w:rFonts w:ascii="Verdana" w:hAnsi="Verdana"/>
            <w:noProof/>
            <w:webHidden/>
          </w:rPr>
          <w:fldChar w:fldCharType="begin"/>
        </w:r>
        <w:r w:rsidR="00D94A8F" w:rsidRPr="00617AE9">
          <w:rPr>
            <w:rFonts w:ascii="Verdana" w:hAnsi="Verdana"/>
            <w:noProof/>
            <w:webHidden/>
          </w:rPr>
          <w:instrText xml:space="preserve"> PAGEREF _Toc73035927 \h </w:instrText>
        </w:r>
        <w:r w:rsidR="00D94A8F" w:rsidRPr="00617AE9">
          <w:rPr>
            <w:rFonts w:ascii="Verdana" w:hAnsi="Verdana"/>
            <w:noProof/>
            <w:webHidden/>
          </w:rPr>
        </w:r>
        <w:r w:rsidR="00D94A8F" w:rsidRPr="00617AE9">
          <w:rPr>
            <w:rFonts w:ascii="Verdana" w:hAnsi="Verdana"/>
            <w:noProof/>
            <w:webHidden/>
          </w:rPr>
          <w:fldChar w:fldCharType="separate"/>
        </w:r>
        <w:r w:rsidR="00CD1132">
          <w:rPr>
            <w:rFonts w:ascii="Verdana" w:hAnsi="Verdana"/>
            <w:noProof/>
            <w:webHidden/>
          </w:rPr>
          <w:t>3</w:t>
        </w:r>
        <w:r w:rsidR="00D94A8F" w:rsidRPr="00617AE9">
          <w:rPr>
            <w:rFonts w:ascii="Verdana" w:hAnsi="Verdana"/>
            <w:noProof/>
            <w:webHidden/>
          </w:rPr>
          <w:fldChar w:fldCharType="end"/>
        </w:r>
      </w:hyperlink>
    </w:p>
    <w:p w14:paraId="10E6F019" w14:textId="77777777" w:rsidR="00D94A8F" w:rsidRPr="00617AE9" w:rsidRDefault="0071169A" w:rsidP="00AE257D">
      <w:pPr>
        <w:pStyle w:val="TDC2"/>
        <w:tabs>
          <w:tab w:val="right" w:leader="dot" w:pos="8828"/>
        </w:tabs>
        <w:spacing w:after="240"/>
        <w:rPr>
          <w:rFonts w:ascii="Verdana" w:eastAsia="Times New Roman" w:hAnsi="Verdana" w:cs="Times New Roman"/>
          <w:noProof/>
        </w:rPr>
      </w:pPr>
      <w:hyperlink w:anchor="_Toc73035928" w:history="1">
        <w:r w:rsidR="00D94A8F" w:rsidRPr="00617AE9">
          <w:rPr>
            <w:rStyle w:val="Hipervnculo"/>
            <w:rFonts w:ascii="Verdana" w:hAnsi="Verdana" w:cs="Arial"/>
            <w:noProof/>
            <w:color w:val="auto"/>
            <w:lang w:val="es" w:eastAsia="ar-SA"/>
          </w:rPr>
          <w:t>3.</w:t>
        </w:r>
        <w:r w:rsidR="00D94A8F" w:rsidRPr="00617AE9">
          <w:rPr>
            <w:rFonts w:ascii="Verdana" w:eastAsia="Times New Roman" w:hAnsi="Verdana" w:cs="Times New Roman"/>
            <w:noProof/>
          </w:rPr>
          <w:tab/>
        </w:r>
        <w:r w:rsidR="00D94A8F" w:rsidRPr="00617AE9">
          <w:rPr>
            <w:rStyle w:val="Hipervnculo"/>
            <w:rFonts w:ascii="Verdana" w:hAnsi="Verdana" w:cs="Arial"/>
            <w:noProof/>
            <w:color w:val="auto"/>
            <w:lang w:val="es" w:eastAsia="ar-SA"/>
          </w:rPr>
          <w:t>RESPONSABLES</w:t>
        </w:r>
        <w:r w:rsidR="00D94A8F" w:rsidRPr="00617AE9">
          <w:rPr>
            <w:rFonts w:ascii="Verdana" w:hAnsi="Verdana"/>
            <w:noProof/>
            <w:webHidden/>
          </w:rPr>
          <w:tab/>
        </w:r>
        <w:r w:rsidR="00D94A8F" w:rsidRPr="00617AE9">
          <w:rPr>
            <w:rFonts w:ascii="Verdana" w:hAnsi="Verdana"/>
            <w:noProof/>
            <w:webHidden/>
          </w:rPr>
          <w:fldChar w:fldCharType="begin"/>
        </w:r>
        <w:r w:rsidR="00D94A8F" w:rsidRPr="00617AE9">
          <w:rPr>
            <w:rFonts w:ascii="Verdana" w:hAnsi="Verdana"/>
            <w:noProof/>
            <w:webHidden/>
          </w:rPr>
          <w:instrText xml:space="preserve"> PAGEREF _Toc73035928 \h </w:instrText>
        </w:r>
        <w:r w:rsidR="00D94A8F" w:rsidRPr="00617AE9">
          <w:rPr>
            <w:rFonts w:ascii="Verdana" w:hAnsi="Verdana"/>
            <w:noProof/>
            <w:webHidden/>
          </w:rPr>
        </w:r>
        <w:r w:rsidR="00D94A8F" w:rsidRPr="00617AE9">
          <w:rPr>
            <w:rFonts w:ascii="Verdana" w:hAnsi="Verdana"/>
            <w:noProof/>
            <w:webHidden/>
          </w:rPr>
          <w:fldChar w:fldCharType="separate"/>
        </w:r>
        <w:r w:rsidR="00CD1132">
          <w:rPr>
            <w:rFonts w:ascii="Verdana" w:hAnsi="Verdana"/>
            <w:noProof/>
            <w:webHidden/>
          </w:rPr>
          <w:t>3</w:t>
        </w:r>
        <w:r w:rsidR="00D94A8F" w:rsidRPr="00617AE9">
          <w:rPr>
            <w:rFonts w:ascii="Verdana" w:hAnsi="Verdana"/>
            <w:noProof/>
            <w:webHidden/>
          </w:rPr>
          <w:fldChar w:fldCharType="end"/>
        </w:r>
      </w:hyperlink>
    </w:p>
    <w:p w14:paraId="06959AB2" w14:textId="77777777" w:rsidR="00D94A8F" w:rsidRPr="00617AE9" w:rsidRDefault="0071169A" w:rsidP="00AE257D">
      <w:pPr>
        <w:pStyle w:val="TDC2"/>
        <w:tabs>
          <w:tab w:val="right" w:leader="dot" w:pos="8828"/>
        </w:tabs>
        <w:spacing w:after="240"/>
        <w:rPr>
          <w:rFonts w:ascii="Verdana" w:eastAsia="Times New Roman" w:hAnsi="Verdana" w:cs="Times New Roman"/>
          <w:noProof/>
        </w:rPr>
      </w:pPr>
      <w:hyperlink w:anchor="_Toc73035929" w:history="1">
        <w:r w:rsidR="00D94A8F" w:rsidRPr="00617AE9">
          <w:rPr>
            <w:rStyle w:val="Hipervnculo"/>
            <w:rFonts w:ascii="Verdana" w:hAnsi="Verdana" w:cs="Arial"/>
            <w:noProof/>
            <w:color w:val="auto"/>
            <w:lang w:val="es" w:eastAsia="ar-SA"/>
          </w:rPr>
          <w:t>4.</w:t>
        </w:r>
        <w:r w:rsidR="00D94A8F" w:rsidRPr="00617AE9">
          <w:rPr>
            <w:rFonts w:ascii="Verdana" w:eastAsia="Times New Roman" w:hAnsi="Verdana" w:cs="Times New Roman"/>
            <w:noProof/>
          </w:rPr>
          <w:tab/>
        </w:r>
        <w:r w:rsidR="00D94A8F" w:rsidRPr="00617AE9">
          <w:rPr>
            <w:rStyle w:val="Hipervnculo"/>
            <w:rFonts w:ascii="Verdana" w:hAnsi="Verdana" w:cs="Arial"/>
            <w:noProof/>
            <w:color w:val="auto"/>
            <w:lang w:val="es" w:eastAsia="ar-SA"/>
          </w:rPr>
          <w:t>MARCO LEGAL</w:t>
        </w:r>
        <w:r w:rsidR="00D94A8F" w:rsidRPr="00617AE9">
          <w:rPr>
            <w:rFonts w:ascii="Verdana" w:hAnsi="Verdana"/>
            <w:noProof/>
            <w:webHidden/>
          </w:rPr>
          <w:tab/>
        </w:r>
        <w:r w:rsidR="00D94A8F" w:rsidRPr="00617AE9">
          <w:rPr>
            <w:rFonts w:ascii="Verdana" w:hAnsi="Verdana"/>
            <w:noProof/>
            <w:webHidden/>
          </w:rPr>
          <w:fldChar w:fldCharType="begin"/>
        </w:r>
        <w:r w:rsidR="00D94A8F" w:rsidRPr="00617AE9">
          <w:rPr>
            <w:rFonts w:ascii="Verdana" w:hAnsi="Verdana"/>
            <w:noProof/>
            <w:webHidden/>
          </w:rPr>
          <w:instrText xml:space="preserve"> PAGEREF _Toc73035929 \h </w:instrText>
        </w:r>
        <w:r w:rsidR="00D94A8F" w:rsidRPr="00617AE9">
          <w:rPr>
            <w:rFonts w:ascii="Verdana" w:hAnsi="Verdana"/>
            <w:noProof/>
            <w:webHidden/>
          </w:rPr>
        </w:r>
        <w:r w:rsidR="00D94A8F" w:rsidRPr="00617AE9">
          <w:rPr>
            <w:rFonts w:ascii="Verdana" w:hAnsi="Verdana"/>
            <w:noProof/>
            <w:webHidden/>
          </w:rPr>
          <w:fldChar w:fldCharType="separate"/>
        </w:r>
        <w:r w:rsidR="00CD1132">
          <w:rPr>
            <w:rFonts w:ascii="Verdana" w:hAnsi="Verdana"/>
            <w:noProof/>
            <w:webHidden/>
          </w:rPr>
          <w:t>3</w:t>
        </w:r>
        <w:r w:rsidR="00D94A8F" w:rsidRPr="00617AE9">
          <w:rPr>
            <w:rFonts w:ascii="Verdana" w:hAnsi="Verdana"/>
            <w:noProof/>
            <w:webHidden/>
          </w:rPr>
          <w:fldChar w:fldCharType="end"/>
        </w:r>
      </w:hyperlink>
    </w:p>
    <w:p w14:paraId="345C4734" w14:textId="77777777" w:rsidR="00D94A8F" w:rsidRPr="00617AE9" w:rsidRDefault="0071169A" w:rsidP="00AE257D">
      <w:pPr>
        <w:pStyle w:val="TDC2"/>
        <w:tabs>
          <w:tab w:val="right" w:leader="dot" w:pos="8828"/>
        </w:tabs>
        <w:spacing w:after="240"/>
        <w:rPr>
          <w:rFonts w:ascii="Verdana" w:eastAsia="Times New Roman" w:hAnsi="Verdana" w:cs="Times New Roman"/>
          <w:noProof/>
        </w:rPr>
      </w:pPr>
      <w:hyperlink w:anchor="_Toc73035930" w:history="1">
        <w:r w:rsidR="00D94A8F" w:rsidRPr="00617AE9">
          <w:rPr>
            <w:rStyle w:val="Hipervnculo"/>
            <w:rFonts w:ascii="Verdana" w:hAnsi="Verdana" w:cs="Arial"/>
            <w:noProof/>
            <w:color w:val="auto"/>
            <w:lang w:val="es" w:eastAsia="ar-SA"/>
          </w:rPr>
          <w:t>5.   DEFINICIONES</w:t>
        </w:r>
        <w:r w:rsidR="00D94A8F" w:rsidRPr="00617AE9">
          <w:rPr>
            <w:rFonts w:ascii="Verdana" w:hAnsi="Verdana"/>
            <w:noProof/>
            <w:webHidden/>
          </w:rPr>
          <w:tab/>
        </w:r>
        <w:r w:rsidR="00D94A8F" w:rsidRPr="00617AE9">
          <w:rPr>
            <w:rFonts w:ascii="Verdana" w:hAnsi="Verdana"/>
            <w:noProof/>
            <w:webHidden/>
          </w:rPr>
          <w:fldChar w:fldCharType="begin"/>
        </w:r>
        <w:r w:rsidR="00D94A8F" w:rsidRPr="00617AE9">
          <w:rPr>
            <w:rFonts w:ascii="Verdana" w:hAnsi="Verdana"/>
            <w:noProof/>
            <w:webHidden/>
          </w:rPr>
          <w:instrText xml:space="preserve"> PAGEREF _Toc73035930 \h </w:instrText>
        </w:r>
        <w:r w:rsidR="00D94A8F" w:rsidRPr="00617AE9">
          <w:rPr>
            <w:rFonts w:ascii="Verdana" w:hAnsi="Verdana"/>
            <w:noProof/>
            <w:webHidden/>
          </w:rPr>
        </w:r>
        <w:r w:rsidR="00D94A8F" w:rsidRPr="00617AE9">
          <w:rPr>
            <w:rFonts w:ascii="Verdana" w:hAnsi="Verdana"/>
            <w:noProof/>
            <w:webHidden/>
          </w:rPr>
          <w:fldChar w:fldCharType="separate"/>
        </w:r>
        <w:r w:rsidR="00CD1132">
          <w:rPr>
            <w:rFonts w:ascii="Verdana" w:hAnsi="Verdana"/>
            <w:noProof/>
            <w:webHidden/>
          </w:rPr>
          <w:t>4</w:t>
        </w:r>
        <w:r w:rsidR="00D94A8F" w:rsidRPr="00617AE9">
          <w:rPr>
            <w:rFonts w:ascii="Verdana" w:hAnsi="Verdana"/>
            <w:noProof/>
            <w:webHidden/>
          </w:rPr>
          <w:fldChar w:fldCharType="end"/>
        </w:r>
      </w:hyperlink>
    </w:p>
    <w:p w14:paraId="532453A1" w14:textId="77777777" w:rsidR="00D94A8F" w:rsidRPr="00617AE9" w:rsidRDefault="0071169A" w:rsidP="00AE257D">
      <w:pPr>
        <w:pStyle w:val="TDC2"/>
        <w:tabs>
          <w:tab w:val="right" w:leader="dot" w:pos="8828"/>
        </w:tabs>
        <w:spacing w:after="240"/>
        <w:rPr>
          <w:rFonts w:ascii="Verdana" w:eastAsia="Times New Roman" w:hAnsi="Verdana" w:cs="Times New Roman"/>
          <w:noProof/>
        </w:rPr>
      </w:pPr>
      <w:hyperlink w:anchor="_Toc73035931" w:history="1">
        <w:r w:rsidR="00D94A8F" w:rsidRPr="00617AE9">
          <w:rPr>
            <w:rStyle w:val="Hipervnculo"/>
            <w:rFonts w:ascii="Verdana" w:hAnsi="Verdana" w:cs="Arial"/>
            <w:noProof/>
            <w:color w:val="auto"/>
            <w:lang w:val="es" w:eastAsia="ar-SA"/>
          </w:rPr>
          <w:t>6.   DESARROLLO DEL DOCUMENTO</w:t>
        </w:r>
        <w:r w:rsidR="00D94A8F" w:rsidRPr="00617AE9">
          <w:rPr>
            <w:rFonts w:ascii="Verdana" w:hAnsi="Verdana"/>
            <w:noProof/>
            <w:webHidden/>
          </w:rPr>
          <w:tab/>
        </w:r>
        <w:r w:rsidR="00D94A8F" w:rsidRPr="00617AE9">
          <w:rPr>
            <w:rFonts w:ascii="Verdana" w:hAnsi="Verdana"/>
            <w:noProof/>
            <w:webHidden/>
          </w:rPr>
          <w:fldChar w:fldCharType="begin"/>
        </w:r>
        <w:r w:rsidR="00D94A8F" w:rsidRPr="00617AE9">
          <w:rPr>
            <w:rFonts w:ascii="Verdana" w:hAnsi="Verdana"/>
            <w:noProof/>
            <w:webHidden/>
          </w:rPr>
          <w:instrText xml:space="preserve"> PAGEREF _Toc73035931 \h </w:instrText>
        </w:r>
        <w:r w:rsidR="00D94A8F" w:rsidRPr="00617AE9">
          <w:rPr>
            <w:rFonts w:ascii="Verdana" w:hAnsi="Verdana"/>
            <w:noProof/>
            <w:webHidden/>
          </w:rPr>
        </w:r>
        <w:r w:rsidR="00D94A8F" w:rsidRPr="00617AE9">
          <w:rPr>
            <w:rFonts w:ascii="Verdana" w:hAnsi="Verdana"/>
            <w:noProof/>
            <w:webHidden/>
          </w:rPr>
          <w:fldChar w:fldCharType="separate"/>
        </w:r>
        <w:r w:rsidR="00CD1132">
          <w:rPr>
            <w:rFonts w:ascii="Verdana" w:hAnsi="Verdana"/>
            <w:noProof/>
            <w:webHidden/>
          </w:rPr>
          <w:t>8</w:t>
        </w:r>
        <w:r w:rsidR="00D94A8F" w:rsidRPr="00617AE9">
          <w:rPr>
            <w:rFonts w:ascii="Verdana" w:hAnsi="Verdana"/>
            <w:noProof/>
            <w:webHidden/>
          </w:rPr>
          <w:fldChar w:fldCharType="end"/>
        </w:r>
      </w:hyperlink>
    </w:p>
    <w:p w14:paraId="33A93B1B" w14:textId="77777777" w:rsidR="00D94A8F" w:rsidRPr="00617AE9" w:rsidRDefault="0071169A" w:rsidP="00AE257D">
      <w:pPr>
        <w:pStyle w:val="TDC2"/>
        <w:tabs>
          <w:tab w:val="right" w:leader="dot" w:pos="8828"/>
        </w:tabs>
        <w:spacing w:after="240"/>
        <w:rPr>
          <w:rFonts w:ascii="Verdana" w:eastAsia="Times New Roman" w:hAnsi="Verdana" w:cs="Times New Roman"/>
          <w:noProof/>
        </w:rPr>
      </w:pPr>
      <w:hyperlink w:anchor="_Toc73035932" w:history="1">
        <w:r w:rsidR="00D94A8F" w:rsidRPr="00617AE9">
          <w:rPr>
            <w:rStyle w:val="Hipervnculo"/>
            <w:rFonts w:ascii="Verdana" w:hAnsi="Verdana" w:cs="Arial"/>
            <w:noProof/>
            <w:color w:val="auto"/>
            <w:lang w:val="es" w:eastAsia="ar-SA"/>
          </w:rPr>
          <w:t>6.1. Productos químicos peligrosos</w:t>
        </w:r>
        <w:r w:rsidR="00D94A8F" w:rsidRPr="00617AE9">
          <w:rPr>
            <w:rFonts w:ascii="Verdana" w:hAnsi="Verdana"/>
            <w:noProof/>
            <w:webHidden/>
          </w:rPr>
          <w:tab/>
        </w:r>
        <w:r w:rsidR="00D94A8F" w:rsidRPr="00617AE9">
          <w:rPr>
            <w:rFonts w:ascii="Verdana" w:hAnsi="Verdana"/>
            <w:noProof/>
            <w:webHidden/>
          </w:rPr>
          <w:fldChar w:fldCharType="begin"/>
        </w:r>
        <w:r w:rsidR="00D94A8F" w:rsidRPr="00617AE9">
          <w:rPr>
            <w:rFonts w:ascii="Verdana" w:hAnsi="Verdana"/>
            <w:noProof/>
            <w:webHidden/>
          </w:rPr>
          <w:instrText xml:space="preserve"> PAGEREF _Toc73035932 \h </w:instrText>
        </w:r>
        <w:r w:rsidR="00D94A8F" w:rsidRPr="00617AE9">
          <w:rPr>
            <w:rFonts w:ascii="Verdana" w:hAnsi="Verdana"/>
            <w:noProof/>
            <w:webHidden/>
          </w:rPr>
        </w:r>
        <w:r w:rsidR="00D94A8F" w:rsidRPr="00617AE9">
          <w:rPr>
            <w:rFonts w:ascii="Verdana" w:hAnsi="Verdana"/>
            <w:noProof/>
            <w:webHidden/>
          </w:rPr>
          <w:fldChar w:fldCharType="separate"/>
        </w:r>
        <w:r w:rsidR="00CD1132">
          <w:rPr>
            <w:rFonts w:ascii="Verdana" w:hAnsi="Verdana"/>
            <w:noProof/>
            <w:webHidden/>
          </w:rPr>
          <w:t>8</w:t>
        </w:r>
        <w:r w:rsidR="00D94A8F" w:rsidRPr="00617AE9">
          <w:rPr>
            <w:rFonts w:ascii="Verdana" w:hAnsi="Verdana"/>
            <w:noProof/>
            <w:webHidden/>
          </w:rPr>
          <w:fldChar w:fldCharType="end"/>
        </w:r>
      </w:hyperlink>
    </w:p>
    <w:p w14:paraId="7E4D38B2" w14:textId="77777777" w:rsidR="00D94A8F" w:rsidRPr="00617AE9" w:rsidRDefault="0071169A" w:rsidP="00AE257D">
      <w:pPr>
        <w:pStyle w:val="TDC2"/>
        <w:tabs>
          <w:tab w:val="right" w:leader="dot" w:pos="8828"/>
        </w:tabs>
        <w:spacing w:after="240"/>
        <w:rPr>
          <w:rFonts w:ascii="Verdana" w:eastAsia="Times New Roman" w:hAnsi="Verdana" w:cs="Times New Roman"/>
          <w:noProof/>
        </w:rPr>
      </w:pPr>
      <w:hyperlink w:anchor="_Toc73035934" w:history="1">
        <w:r w:rsidR="00D94A8F" w:rsidRPr="00617AE9">
          <w:rPr>
            <w:rStyle w:val="Hipervnculo"/>
            <w:rFonts w:ascii="Verdana" w:hAnsi="Verdana" w:cs="Arial"/>
            <w:noProof/>
            <w:color w:val="auto"/>
            <w:lang w:val="es" w:eastAsia="ar-SA"/>
          </w:rPr>
          <w:t>6.2. Solicitud y recepción de las sustancias químicas de aseo.</w:t>
        </w:r>
        <w:r w:rsidR="00D94A8F" w:rsidRPr="00617AE9">
          <w:rPr>
            <w:rFonts w:ascii="Verdana" w:hAnsi="Verdana"/>
            <w:noProof/>
            <w:webHidden/>
          </w:rPr>
          <w:tab/>
        </w:r>
        <w:r w:rsidR="00D94A8F" w:rsidRPr="00617AE9">
          <w:rPr>
            <w:rFonts w:ascii="Verdana" w:hAnsi="Verdana"/>
            <w:noProof/>
            <w:webHidden/>
          </w:rPr>
          <w:fldChar w:fldCharType="begin"/>
        </w:r>
        <w:r w:rsidR="00D94A8F" w:rsidRPr="00617AE9">
          <w:rPr>
            <w:rFonts w:ascii="Verdana" w:hAnsi="Verdana"/>
            <w:noProof/>
            <w:webHidden/>
          </w:rPr>
          <w:instrText xml:space="preserve"> PAGEREF _Toc73035934 \h </w:instrText>
        </w:r>
        <w:r w:rsidR="00D94A8F" w:rsidRPr="00617AE9">
          <w:rPr>
            <w:rFonts w:ascii="Verdana" w:hAnsi="Verdana"/>
            <w:noProof/>
            <w:webHidden/>
          </w:rPr>
        </w:r>
        <w:r w:rsidR="00D94A8F" w:rsidRPr="00617AE9">
          <w:rPr>
            <w:rFonts w:ascii="Verdana" w:hAnsi="Verdana"/>
            <w:noProof/>
            <w:webHidden/>
          </w:rPr>
          <w:fldChar w:fldCharType="separate"/>
        </w:r>
        <w:r w:rsidR="00CD1132">
          <w:rPr>
            <w:rFonts w:ascii="Verdana" w:hAnsi="Verdana"/>
            <w:noProof/>
            <w:webHidden/>
          </w:rPr>
          <w:t>8</w:t>
        </w:r>
        <w:r w:rsidR="00D94A8F" w:rsidRPr="00617AE9">
          <w:rPr>
            <w:rFonts w:ascii="Verdana" w:hAnsi="Verdana"/>
            <w:noProof/>
            <w:webHidden/>
          </w:rPr>
          <w:fldChar w:fldCharType="end"/>
        </w:r>
      </w:hyperlink>
    </w:p>
    <w:p w14:paraId="73850636" w14:textId="77777777" w:rsidR="00D94A8F" w:rsidRPr="00617AE9" w:rsidRDefault="0071169A" w:rsidP="00AE257D">
      <w:pPr>
        <w:pStyle w:val="TDC2"/>
        <w:tabs>
          <w:tab w:val="right" w:leader="dot" w:pos="8828"/>
        </w:tabs>
        <w:spacing w:after="240"/>
        <w:rPr>
          <w:rFonts w:ascii="Verdana" w:eastAsia="Times New Roman" w:hAnsi="Verdana" w:cs="Times New Roman"/>
          <w:noProof/>
        </w:rPr>
      </w:pPr>
      <w:hyperlink w:anchor="_Toc73035935" w:history="1">
        <w:r w:rsidR="00D94A8F" w:rsidRPr="00617AE9">
          <w:rPr>
            <w:rStyle w:val="Hipervnculo"/>
            <w:rFonts w:ascii="Verdana" w:hAnsi="Verdana" w:cs="Arial"/>
            <w:noProof/>
            <w:color w:val="auto"/>
            <w:lang w:val="es" w:eastAsia="ar-SA"/>
          </w:rPr>
          <w:t>6.3. Almacenamiento</w:t>
        </w:r>
        <w:r w:rsidR="00D94A8F" w:rsidRPr="00617AE9">
          <w:rPr>
            <w:rFonts w:ascii="Verdana" w:hAnsi="Verdana"/>
            <w:noProof/>
            <w:webHidden/>
          </w:rPr>
          <w:tab/>
        </w:r>
        <w:r w:rsidR="00D94A8F" w:rsidRPr="00617AE9">
          <w:rPr>
            <w:rFonts w:ascii="Verdana" w:hAnsi="Verdana"/>
            <w:noProof/>
            <w:webHidden/>
          </w:rPr>
          <w:fldChar w:fldCharType="begin"/>
        </w:r>
        <w:r w:rsidR="00D94A8F" w:rsidRPr="00617AE9">
          <w:rPr>
            <w:rFonts w:ascii="Verdana" w:hAnsi="Verdana"/>
            <w:noProof/>
            <w:webHidden/>
          </w:rPr>
          <w:instrText xml:space="preserve"> PAGEREF _Toc73035935 \h </w:instrText>
        </w:r>
        <w:r w:rsidR="00D94A8F" w:rsidRPr="00617AE9">
          <w:rPr>
            <w:rFonts w:ascii="Verdana" w:hAnsi="Verdana"/>
            <w:noProof/>
            <w:webHidden/>
          </w:rPr>
        </w:r>
        <w:r w:rsidR="00D94A8F" w:rsidRPr="00617AE9">
          <w:rPr>
            <w:rFonts w:ascii="Verdana" w:hAnsi="Verdana"/>
            <w:noProof/>
            <w:webHidden/>
          </w:rPr>
          <w:fldChar w:fldCharType="separate"/>
        </w:r>
        <w:r w:rsidR="00CD1132">
          <w:rPr>
            <w:rFonts w:ascii="Verdana" w:hAnsi="Verdana"/>
            <w:noProof/>
            <w:webHidden/>
          </w:rPr>
          <w:t>10</w:t>
        </w:r>
        <w:r w:rsidR="00D94A8F" w:rsidRPr="00617AE9">
          <w:rPr>
            <w:rFonts w:ascii="Verdana" w:hAnsi="Verdana"/>
            <w:noProof/>
            <w:webHidden/>
          </w:rPr>
          <w:fldChar w:fldCharType="end"/>
        </w:r>
      </w:hyperlink>
    </w:p>
    <w:p w14:paraId="514C4811" w14:textId="77777777" w:rsidR="00D94A8F" w:rsidRPr="00617AE9" w:rsidRDefault="0071169A" w:rsidP="00AE257D">
      <w:pPr>
        <w:pStyle w:val="TDC2"/>
        <w:tabs>
          <w:tab w:val="right" w:leader="dot" w:pos="8828"/>
        </w:tabs>
        <w:spacing w:after="240"/>
        <w:rPr>
          <w:rFonts w:ascii="Verdana" w:eastAsia="Times New Roman" w:hAnsi="Verdana" w:cs="Times New Roman"/>
          <w:noProof/>
        </w:rPr>
      </w:pPr>
      <w:hyperlink w:anchor="_Toc73035936" w:history="1">
        <w:r w:rsidR="00D94A8F" w:rsidRPr="00617AE9">
          <w:rPr>
            <w:rStyle w:val="Hipervnculo"/>
            <w:rFonts w:ascii="Verdana" w:hAnsi="Verdana" w:cs="Arial"/>
            <w:noProof/>
            <w:color w:val="auto"/>
            <w:lang w:val="es" w:eastAsia="ar-SA"/>
          </w:rPr>
          <w:t>6.4. Manipulación de Sustancias Peligrosas</w:t>
        </w:r>
        <w:r w:rsidR="00D94A8F" w:rsidRPr="00617AE9">
          <w:rPr>
            <w:rFonts w:ascii="Verdana" w:hAnsi="Verdana"/>
            <w:noProof/>
            <w:webHidden/>
          </w:rPr>
          <w:tab/>
        </w:r>
        <w:r w:rsidR="00D94A8F" w:rsidRPr="00617AE9">
          <w:rPr>
            <w:rFonts w:ascii="Verdana" w:hAnsi="Verdana"/>
            <w:noProof/>
            <w:webHidden/>
          </w:rPr>
          <w:fldChar w:fldCharType="begin"/>
        </w:r>
        <w:r w:rsidR="00D94A8F" w:rsidRPr="00617AE9">
          <w:rPr>
            <w:rFonts w:ascii="Verdana" w:hAnsi="Verdana"/>
            <w:noProof/>
            <w:webHidden/>
          </w:rPr>
          <w:instrText xml:space="preserve"> PAGEREF _Toc73035936 \h </w:instrText>
        </w:r>
        <w:r w:rsidR="00D94A8F" w:rsidRPr="00617AE9">
          <w:rPr>
            <w:rFonts w:ascii="Verdana" w:hAnsi="Verdana"/>
            <w:noProof/>
            <w:webHidden/>
          </w:rPr>
        </w:r>
        <w:r w:rsidR="00D94A8F" w:rsidRPr="00617AE9">
          <w:rPr>
            <w:rFonts w:ascii="Verdana" w:hAnsi="Verdana"/>
            <w:noProof/>
            <w:webHidden/>
          </w:rPr>
          <w:fldChar w:fldCharType="separate"/>
        </w:r>
        <w:r w:rsidR="00CD1132">
          <w:rPr>
            <w:rFonts w:ascii="Verdana" w:hAnsi="Verdana"/>
            <w:noProof/>
            <w:webHidden/>
          </w:rPr>
          <w:t>10</w:t>
        </w:r>
        <w:r w:rsidR="00D94A8F" w:rsidRPr="00617AE9">
          <w:rPr>
            <w:rFonts w:ascii="Verdana" w:hAnsi="Verdana"/>
            <w:noProof/>
            <w:webHidden/>
          </w:rPr>
          <w:fldChar w:fldCharType="end"/>
        </w:r>
      </w:hyperlink>
    </w:p>
    <w:p w14:paraId="76759727" w14:textId="77777777" w:rsidR="00D94A8F" w:rsidRPr="00617AE9" w:rsidRDefault="0071169A" w:rsidP="00AE257D">
      <w:pPr>
        <w:pStyle w:val="TDC2"/>
        <w:tabs>
          <w:tab w:val="right" w:leader="dot" w:pos="8828"/>
        </w:tabs>
        <w:spacing w:after="240"/>
        <w:rPr>
          <w:rFonts w:ascii="Verdana" w:eastAsia="Times New Roman" w:hAnsi="Verdana" w:cs="Times New Roman"/>
          <w:noProof/>
        </w:rPr>
      </w:pPr>
      <w:hyperlink w:anchor="_Toc73035937" w:history="1">
        <w:r w:rsidR="00D94A8F" w:rsidRPr="00617AE9">
          <w:rPr>
            <w:rStyle w:val="Hipervnculo"/>
            <w:rFonts w:ascii="Verdana" w:hAnsi="Verdana" w:cs="Arial"/>
            <w:noProof/>
            <w:color w:val="auto"/>
            <w:lang w:val="es" w:eastAsia="ar-SA"/>
          </w:rPr>
          <w:t>6.5. Disposición final de los envases de las Sustancias</w:t>
        </w:r>
        <w:r w:rsidR="00D94A8F" w:rsidRPr="00617AE9">
          <w:rPr>
            <w:rFonts w:ascii="Verdana" w:hAnsi="Verdana"/>
            <w:noProof/>
            <w:webHidden/>
          </w:rPr>
          <w:tab/>
        </w:r>
        <w:r w:rsidR="00D94A8F" w:rsidRPr="00617AE9">
          <w:rPr>
            <w:rFonts w:ascii="Verdana" w:hAnsi="Verdana"/>
            <w:noProof/>
            <w:webHidden/>
          </w:rPr>
          <w:fldChar w:fldCharType="begin"/>
        </w:r>
        <w:r w:rsidR="00D94A8F" w:rsidRPr="00617AE9">
          <w:rPr>
            <w:rFonts w:ascii="Verdana" w:hAnsi="Verdana"/>
            <w:noProof/>
            <w:webHidden/>
          </w:rPr>
          <w:instrText xml:space="preserve"> PAGEREF _Toc73035937 \h </w:instrText>
        </w:r>
        <w:r w:rsidR="00D94A8F" w:rsidRPr="00617AE9">
          <w:rPr>
            <w:rFonts w:ascii="Verdana" w:hAnsi="Verdana"/>
            <w:noProof/>
            <w:webHidden/>
          </w:rPr>
        </w:r>
        <w:r w:rsidR="00D94A8F" w:rsidRPr="00617AE9">
          <w:rPr>
            <w:rFonts w:ascii="Verdana" w:hAnsi="Verdana"/>
            <w:noProof/>
            <w:webHidden/>
          </w:rPr>
          <w:fldChar w:fldCharType="separate"/>
        </w:r>
        <w:r w:rsidR="00CD1132">
          <w:rPr>
            <w:rFonts w:ascii="Verdana" w:hAnsi="Verdana"/>
            <w:noProof/>
            <w:webHidden/>
          </w:rPr>
          <w:t>11</w:t>
        </w:r>
        <w:r w:rsidR="00D94A8F" w:rsidRPr="00617AE9">
          <w:rPr>
            <w:rFonts w:ascii="Verdana" w:hAnsi="Verdana"/>
            <w:noProof/>
            <w:webHidden/>
          </w:rPr>
          <w:fldChar w:fldCharType="end"/>
        </w:r>
      </w:hyperlink>
    </w:p>
    <w:p w14:paraId="1834B15A" w14:textId="77777777" w:rsidR="00D94A8F" w:rsidRPr="00617AE9" w:rsidRDefault="0071169A" w:rsidP="00AE257D">
      <w:pPr>
        <w:pStyle w:val="TDC2"/>
        <w:tabs>
          <w:tab w:val="right" w:leader="dot" w:pos="8828"/>
        </w:tabs>
        <w:spacing w:after="240"/>
        <w:rPr>
          <w:rFonts w:ascii="Verdana" w:eastAsia="Times New Roman" w:hAnsi="Verdana" w:cs="Times New Roman"/>
          <w:noProof/>
        </w:rPr>
      </w:pPr>
      <w:hyperlink w:anchor="_Toc73035938" w:history="1">
        <w:r w:rsidR="00D94A8F" w:rsidRPr="00617AE9">
          <w:rPr>
            <w:rStyle w:val="Hipervnculo"/>
            <w:rFonts w:ascii="Verdana" w:eastAsia="Times New Roman" w:hAnsi="Verdana" w:cs="Arial"/>
            <w:b/>
            <w:bCs/>
            <w:i/>
            <w:iCs/>
            <w:noProof/>
            <w:color w:val="auto"/>
          </w:rPr>
          <w:t>Anexos</w:t>
        </w:r>
        <w:r w:rsidR="00D94A8F" w:rsidRPr="00617AE9">
          <w:rPr>
            <w:rFonts w:ascii="Verdana" w:hAnsi="Verdana"/>
            <w:noProof/>
            <w:webHidden/>
          </w:rPr>
          <w:tab/>
        </w:r>
        <w:r w:rsidR="00D94A8F" w:rsidRPr="00617AE9">
          <w:rPr>
            <w:rFonts w:ascii="Verdana" w:hAnsi="Verdana"/>
            <w:noProof/>
            <w:webHidden/>
          </w:rPr>
          <w:fldChar w:fldCharType="begin"/>
        </w:r>
        <w:r w:rsidR="00D94A8F" w:rsidRPr="00617AE9">
          <w:rPr>
            <w:rFonts w:ascii="Verdana" w:hAnsi="Verdana"/>
            <w:noProof/>
            <w:webHidden/>
          </w:rPr>
          <w:instrText xml:space="preserve"> PAGEREF _Toc73035938 \h </w:instrText>
        </w:r>
        <w:r w:rsidR="00D94A8F" w:rsidRPr="00617AE9">
          <w:rPr>
            <w:rFonts w:ascii="Verdana" w:hAnsi="Verdana"/>
            <w:noProof/>
            <w:webHidden/>
          </w:rPr>
        </w:r>
        <w:r w:rsidR="00D94A8F" w:rsidRPr="00617AE9">
          <w:rPr>
            <w:rFonts w:ascii="Verdana" w:hAnsi="Verdana"/>
            <w:noProof/>
            <w:webHidden/>
          </w:rPr>
          <w:fldChar w:fldCharType="separate"/>
        </w:r>
        <w:r w:rsidR="00CD1132">
          <w:rPr>
            <w:rFonts w:ascii="Verdana" w:hAnsi="Verdana"/>
            <w:noProof/>
            <w:webHidden/>
          </w:rPr>
          <w:t>11</w:t>
        </w:r>
        <w:r w:rsidR="00D94A8F" w:rsidRPr="00617AE9">
          <w:rPr>
            <w:rFonts w:ascii="Verdana" w:hAnsi="Verdana"/>
            <w:noProof/>
            <w:webHidden/>
          </w:rPr>
          <w:fldChar w:fldCharType="end"/>
        </w:r>
      </w:hyperlink>
    </w:p>
    <w:p w14:paraId="388478AD" w14:textId="77777777" w:rsidR="00D94A8F" w:rsidRPr="00617AE9" w:rsidRDefault="00D94A8F" w:rsidP="00AE257D">
      <w:pPr>
        <w:spacing w:after="240"/>
        <w:rPr>
          <w:rFonts w:ascii="Verdana" w:hAnsi="Verdana"/>
          <w:sz w:val="22"/>
          <w:szCs w:val="22"/>
        </w:rPr>
      </w:pPr>
      <w:r w:rsidRPr="00617AE9">
        <w:rPr>
          <w:rFonts w:ascii="Verdana" w:hAnsi="Verdana"/>
          <w:b/>
          <w:bCs/>
          <w:sz w:val="22"/>
          <w:szCs w:val="22"/>
          <w:lang w:val="es-ES"/>
        </w:rPr>
        <w:fldChar w:fldCharType="end"/>
      </w:r>
    </w:p>
    <w:p w14:paraId="4D165A6A" w14:textId="77777777" w:rsidR="00D94A8F" w:rsidRPr="00617AE9" w:rsidRDefault="00D94A8F" w:rsidP="00AE257D">
      <w:pPr>
        <w:autoSpaceDE w:val="0"/>
        <w:adjustRightInd w:val="0"/>
        <w:spacing w:after="240" w:line="276" w:lineRule="auto"/>
        <w:ind w:left="720"/>
        <w:jc w:val="center"/>
        <w:rPr>
          <w:rFonts w:ascii="Verdana" w:hAnsi="Verdana" w:cs="Arial"/>
          <w:b/>
          <w:bCs/>
          <w:sz w:val="22"/>
          <w:szCs w:val="22"/>
        </w:rPr>
      </w:pPr>
    </w:p>
    <w:p w14:paraId="6D977EFA" w14:textId="77777777" w:rsidR="00D94A8F" w:rsidRPr="00617AE9" w:rsidRDefault="00D94A8F" w:rsidP="00AE257D">
      <w:pPr>
        <w:autoSpaceDE w:val="0"/>
        <w:adjustRightInd w:val="0"/>
        <w:spacing w:after="240" w:line="276" w:lineRule="auto"/>
        <w:ind w:left="720"/>
        <w:jc w:val="center"/>
        <w:rPr>
          <w:rFonts w:ascii="Verdana" w:hAnsi="Verdana" w:cs="Arial"/>
          <w:b/>
          <w:bCs/>
          <w:sz w:val="22"/>
          <w:szCs w:val="22"/>
        </w:rPr>
      </w:pPr>
    </w:p>
    <w:p w14:paraId="0137AFD9" w14:textId="685A756A" w:rsidR="00AE257D" w:rsidRDefault="00AE257D" w:rsidP="00AE257D">
      <w:pPr>
        <w:spacing w:after="240"/>
        <w:rPr>
          <w:rFonts w:ascii="Verdana" w:hAnsi="Verdana" w:cs="Arial"/>
          <w:b/>
          <w:bCs/>
          <w:sz w:val="22"/>
          <w:szCs w:val="22"/>
        </w:rPr>
      </w:pPr>
      <w:r>
        <w:rPr>
          <w:rFonts w:ascii="Verdana" w:hAnsi="Verdana" w:cs="Arial"/>
          <w:b/>
          <w:bCs/>
          <w:sz w:val="22"/>
          <w:szCs w:val="22"/>
        </w:rPr>
        <w:br w:type="page"/>
      </w:r>
    </w:p>
    <w:p w14:paraId="6A3B076A" w14:textId="77777777" w:rsidR="00D94A8F" w:rsidRPr="00617AE9" w:rsidRDefault="00D94A8F" w:rsidP="00AE257D">
      <w:pPr>
        <w:pStyle w:val="Ttulo2"/>
        <w:keepLines w:val="0"/>
        <w:numPr>
          <w:ilvl w:val="0"/>
          <w:numId w:val="24"/>
        </w:numPr>
        <w:suppressAutoHyphens/>
        <w:autoSpaceDN w:val="0"/>
        <w:spacing w:before="240" w:after="240"/>
        <w:textAlignment w:val="baseline"/>
        <w:rPr>
          <w:rFonts w:ascii="Verdana" w:hAnsi="Verdana" w:cs="Arial"/>
          <w:b/>
          <w:i/>
          <w:color w:val="auto"/>
          <w:sz w:val="22"/>
          <w:szCs w:val="22"/>
          <w:lang w:val="es" w:eastAsia="ar-SA"/>
        </w:rPr>
      </w:pPr>
      <w:bookmarkStart w:id="0" w:name="_Toc73035926"/>
      <w:r w:rsidRPr="00617AE9">
        <w:rPr>
          <w:rFonts w:ascii="Verdana" w:hAnsi="Verdana" w:cs="Arial"/>
          <w:b/>
          <w:color w:val="auto"/>
          <w:sz w:val="22"/>
          <w:szCs w:val="22"/>
          <w:lang w:val="es" w:eastAsia="ar-SA"/>
        </w:rPr>
        <w:lastRenderedPageBreak/>
        <w:t>OBJETIVO:</w:t>
      </w:r>
      <w:bookmarkEnd w:id="0"/>
    </w:p>
    <w:p w14:paraId="72683FCA" w14:textId="0A65A471" w:rsidR="00D94A8F" w:rsidRPr="00617AE9" w:rsidRDefault="00D94A8F" w:rsidP="00AE257D">
      <w:pPr>
        <w:autoSpaceDE w:val="0"/>
        <w:adjustRightInd w:val="0"/>
        <w:spacing w:after="240" w:line="276" w:lineRule="auto"/>
        <w:jc w:val="both"/>
        <w:rPr>
          <w:rFonts w:ascii="Verdana" w:hAnsi="Verdana" w:cs="Arial"/>
          <w:sz w:val="22"/>
          <w:szCs w:val="22"/>
        </w:rPr>
      </w:pPr>
      <w:r w:rsidRPr="00617AE9">
        <w:rPr>
          <w:rFonts w:ascii="Verdana" w:hAnsi="Verdana" w:cs="Arial"/>
          <w:b/>
          <w:bCs/>
          <w:sz w:val="22"/>
          <w:szCs w:val="22"/>
        </w:rPr>
        <w:t xml:space="preserve"> </w:t>
      </w:r>
      <w:r w:rsidRPr="00617AE9">
        <w:rPr>
          <w:rFonts w:ascii="Verdana" w:hAnsi="Verdana" w:cs="Arial"/>
          <w:sz w:val="22"/>
          <w:szCs w:val="22"/>
        </w:rPr>
        <w:t xml:space="preserve">Establecer un instructivo informativo para garantizar que las sustancias químicas de aseo que ingresen a la Entidad se les proporcionen un manejo adecuado, con el fin de minimizar los riesgos asociados y prevenir enfermedades - accidentes laborales. </w:t>
      </w:r>
    </w:p>
    <w:p w14:paraId="2E50F874" w14:textId="77777777" w:rsidR="00D94A8F" w:rsidRPr="00617AE9" w:rsidRDefault="00D94A8F" w:rsidP="00CD1132">
      <w:pPr>
        <w:numPr>
          <w:ilvl w:val="1"/>
          <w:numId w:val="24"/>
        </w:numPr>
        <w:suppressAutoHyphens/>
        <w:autoSpaceDE w:val="0"/>
        <w:autoSpaceDN w:val="0"/>
        <w:adjustRightInd w:val="0"/>
        <w:spacing w:after="240" w:line="276" w:lineRule="auto"/>
        <w:ind w:left="426"/>
        <w:jc w:val="both"/>
        <w:rPr>
          <w:rFonts w:ascii="Verdana" w:hAnsi="Verdana" w:cs="Arial"/>
          <w:b/>
          <w:sz w:val="22"/>
          <w:szCs w:val="22"/>
        </w:rPr>
      </w:pPr>
      <w:r w:rsidRPr="00617AE9">
        <w:rPr>
          <w:rFonts w:ascii="Verdana" w:hAnsi="Verdana" w:cs="Arial"/>
          <w:b/>
          <w:sz w:val="22"/>
          <w:szCs w:val="22"/>
        </w:rPr>
        <w:t>Objetivos Específicos</w:t>
      </w:r>
    </w:p>
    <w:p w14:paraId="1A47E7A6" w14:textId="77777777" w:rsidR="00D94A8F" w:rsidRPr="00617AE9" w:rsidRDefault="00D94A8F" w:rsidP="00AE257D">
      <w:pPr>
        <w:autoSpaceDE w:val="0"/>
        <w:adjustRightInd w:val="0"/>
        <w:spacing w:after="240" w:line="276" w:lineRule="auto"/>
        <w:jc w:val="both"/>
        <w:rPr>
          <w:rFonts w:ascii="Verdana" w:hAnsi="Verdana" w:cs="Arial"/>
          <w:sz w:val="22"/>
          <w:szCs w:val="22"/>
        </w:rPr>
      </w:pPr>
      <w:r w:rsidRPr="00617AE9">
        <w:rPr>
          <w:rFonts w:ascii="Verdana" w:hAnsi="Verdana" w:cs="Arial"/>
          <w:sz w:val="22"/>
          <w:szCs w:val="22"/>
        </w:rPr>
        <w:t>• Cumplir con la legislación en Seguridad y Salud en el trabajo vigente, fundamentalmente lo concerniente a la Seguridad en la Utilización de los Productos Químicos en el Trabajo.</w:t>
      </w:r>
    </w:p>
    <w:p w14:paraId="1EA2394F" w14:textId="77777777" w:rsidR="00D94A8F" w:rsidRPr="00617AE9" w:rsidRDefault="00D94A8F" w:rsidP="00AE257D">
      <w:pPr>
        <w:autoSpaceDE w:val="0"/>
        <w:adjustRightInd w:val="0"/>
        <w:spacing w:after="240" w:line="276" w:lineRule="auto"/>
        <w:jc w:val="both"/>
        <w:rPr>
          <w:rFonts w:ascii="Verdana" w:hAnsi="Verdana" w:cs="Arial"/>
          <w:sz w:val="22"/>
          <w:szCs w:val="22"/>
        </w:rPr>
      </w:pPr>
      <w:r w:rsidRPr="00617AE9">
        <w:rPr>
          <w:rFonts w:ascii="Verdana" w:hAnsi="Verdana" w:cs="Arial"/>
          <w:sz w:val="22"/>
          <w:szCs w:val="22"/>
        </w:rPr>
        <w:t>• Sensibilizar a todas las personas sobre la importancia de fomentar las prácticas seguras en la ejecución de sus actividades laborales, promoviendo la cultura del autocuidado y la protección del medio ambiente.</w:t>
      </w:r>
    </w:p>
    <w:p w14:paraId="74E9B999" w14:textId="77777777" w:rsidR="00D94A8F" w:rsidRPr="00617AE9" w:rsidRDefault="00D94A8F" w:rsidP="00AE257D">
      <w:pPr>
        <w:pStyle w:val="Ttulo2"/>
        <w:keepLines w:val="0"/>
        <w:numPr>
          <w:ilvl w:val="0"/>
          <w:numId w:val="24"/>
        </w:numPr>
        <w:suppressAutoHyphens/>
        <w:autoSpaceDN w:val="0"/>
        <w:spacing w:before="240" w:after="240"/>
        <w:textAlignment w:val="baseline"/>
        <w:rPr>
          <w:rFonts w:ascii="Verdana" w:hAnsi="Verdana" w:cs="Arial"/>
          <w:b/>
          <w:i/>
          <w:color w:val="auto"/>
          <w:sz w:val="22"/>
          <w:szCs w:val="22"/>
          <w:lang w:val="es" w:eastAsia="ar-SA"/>
        </w:rPr>
      </w:pPr>
      <w:bookmarkStart w:id="1" w:name="_Toc73035927"/>
      <w:r w:rsidRPr="00617AE9">
        <w:rPr>
          <w:rFonts w:ascii="Verdana" w:hAnsi="Verdana" w:cs="Arial"/>
          <w:b/>
          <w:color w:val="auto"/>
          <w:sz w:val="22"/>
          <w:szCs w:val="22"/>
          <w:lang w:val="es" w:eastAsia="ar-SA"/>
        </w:rPr>
        <w:t>ALCANCE</w:t>
      </w:r>
      <w:bookmarkEnd w:id="1"/>
      <w:r w:rsidRPr="00617AE9">
        <w:rPr>
          <w:rFonts w:ascii="Verdana" w:hAnsi="Verdana" w:cs="Arial"/>
          <w:b/>
          <w:color w:val="auto"/>
          <w:sz w:val="22"/>
          <w:szCs w:val="22"/>
          <w:lang w:val="es" w:eastAsia="ar-SA"/>
        </w:rPr>
        <w:t xml:space="preserve"> </w:t>
      </w:r>
    </w:p>
    <w:p w14:paraId="286CB996" w14:textId="77777777" w:rsidR="00D94A8F" w:rsidRPr="00617AE9" w:rsidRDefault="00D94A8F" w:rsidP="00AE257D">
      <w:pPr>
        <w:spacing w:after="240" w:line="276" w:lineRule="auto"/>
        <w:jc w:val="both"/>
        <w:rPr>
          <w:rFonts w:ascii="Verdana" w:hAnsi="Verdana" w:cs="Arial"/>
          <w:b/>
          <w:sz w:val="22"/>
          <w:szCs w:val="22"/>
          <w:lang w:val="es-MX"/>
        </w:rPr>
      </w:pPr>
      <w:r w:rsidRPr="00617AE9">
        <w:rPr>
          <w:rFonts w:ascii="Verdana" w:hAnsi="Verdana" w:cs="Arial"/>
          <w:sz w:val="22"/>
          <w:szCs w:val="22"/>
        </w:rPr>
        <w:t>Aplica al personal de servicios generales y personal autorizado de la Entidad, inicia con la solicitud, recepción, manipulación sustancias químicas de aseo y su disposición final de los envases.</w:t>
      </w:r>
    </w:p>
    <w:p w14:paraId="38ECF204" w14:textId="77777777" w:rsidR="00D94A8F" w:rsidRPr="00617AE9" w:rsidRDefault="00D94A8F" w:rsidP="00AE257D">
      <w:pPr>
        <w:pStyle w:val="Ttulo2"/>
        <w:keepLines w:val="0"/>
        <w:numPr>
          <w:ilvl w:val="0"/>
          <w:numId w:val="24"/>
        </w:numPr>
        <w:suppressAutoHyphens/>
        <w:autoSpaceDN w:val="0"/>
        <w:spacing w:before="240" w:after="240"/>
        <w:textAlignment w:val="baseline"/>
        <w:rPr>
          <w:rFonts w:ascii="Verdana" w:hAnsi="Verdana" w:cs="Arial"/>
          <w:b/>
          <w:i/>
          <w:color w:val="auto"/>
          <w:sz w:val="22"/>
          <w:szCs w:val="22"/>
          <w:lang w:val="es" w:eastAsia="ar-SA"/>
        </w:rPr>
      </w:pPr>
      <w:bookmarkStart w:id="2" w:name="_Toc73035928"/>
      <w:r w:rsidRPr="00617AE9">
        <w:rPr>
          <w:rFonts w:ascii="Verdana" w:hAnsi="Verdana" w:cs="Arial"/>
          <w:b/>
          <w:color w:val="auto"/>
          <w:sz w:val="22"/>
          <w:szCs w:val="22"/>
          <w:lang w:val="es" w:eastAsia="ar-SA"/>
        </w:rPr>
        <w:t>RESPONSABLES</w:t>
      </w:r>
      <w:bookmarkEnd w:id="2"/>
    </w:p>
    <w:p w14:paraId="1C08E033" w14:textId="77777777" w:rsidR="00D94A8F" w:rsidRPr="00617AE9" w:rsidRDefault="00D94A8F" w:rsidP="00AE257D">
      <w:pPr>
        <w:spacing w:after="240" w:line="276" w:lineRule="auto"/>
        <w:jc w:val="both"/>
        <w:rPr>
          <w:rFonts w:ascii="Verdana" w:hAnsi="Verdana" w:cs="Arial"/>
          <w:sz w:val="22"/>
          <w:szCs w:val="22"/>
          <w:lang w:val="es" w:eastAsia="es-ES"/>
        </w:rPr>
      </w:pPr>
      <w:r w:rsidRPr="00617AE9">
        <w:rPr>
          <w:rFonts w:ascii="Verdana" w:hAnsi="Verdana" w:cs="Arial"/>
          <w:sz w:val="22"/>
          <w:szCs w:val="22"/>
        </w:rPr>
        <w:t xml:space="preserve">Sistema de Gestión de Seguridad y Salud en el trabajo, Grupo de </w:t>
      </w:r>
      <w:r w:rsidRPr="00617AE9">
        <w:rPr>
          <w:rFonts w:ascii="Verdana" w:hAnsi="Verdana" w:cs="Arial"/>
          <w:sz w:val="22"/>
          <w:szCs w:val="22"/>
          <w:lang w:val="es" w:eastAsia="es-ES"/>
        </w:rPr>
        <w:t>Recursos físicos y personal de servicios generales.</w:t>
      </w:r>
    </w:p>
    <w:p w14:paraId="261558D5" w14:textId="77777777" w:rsidR="00D94A8F" w:rsidRPr="00617AE9" w:rsidRDefault="00D94A8F" w:rsidP="00AE257D">
      <w:pPr>
        <w:pStyle w:val="Ttulo2"/>
        <w:keepLines w:val="0"/>
        <w:numPr>
          <w:ilvl w:val="0"/>
          <w:numId w:val="24"/>
        </w:numPr>
        <w:suppressAutoHyphens/>
        <w:autoSpaceDN w:val="0"/>
        <w:spacing w:before="240" w:after="240"/>
        <w:textAlignment w:val="baseline"/>
        <w:rPr>
          <w:rFonts w:ascii="Verdana" w:hAnsi="Verdana" w:cs="Arial"/>
          <w:b/>
          <w:i/>
          <w:color w:val="auto"/>
          <w:sz w:val="22"/>
          <w:szCs w:val="22"/>
          <w:lang w:val="es" w:eastAsia="ar-SA"/>
        </w:rPr>
      </w:pPr>
      <w:bookmarkStart w:id="3" w:name="_Toc73035929"/>
      <w:r w:rsidRPr="00617AE9">
        <w:rPr>
          <w:rFonts w:ascii="Verdana" w:hAnsi="Verdana" w:cs="Arial"/>
          <w:b/>
          <w:color w:val="auto"/>
          <w:sz w:val="22"/>
          <w:szCs w:val="22"/>
          <w:lang w:val="es" w:eastAsia="ar-SA"/>
        </w:rPr>
        <w:t>MARCO LEGAL</w:t>
      </w:r>
      <w:bookmarkEnd w:id="3"/>
    </w:p>
    <w:p w14:paraId="6C404DD4" w14:textId="2100EB07" w:rsidR="00D94A8F" w:rsidRPr="00617AE9" w:rsidRDefault="00D94A8F" w:rsidP="00AE257D">
      <w:pPr>
        <w:spacing w:after="240" w:line="276" w:lineRule="auto"/>
        <w:jc w:val="both"/>
        <w:rPr>
          <w:rFonts w:ascii="Verdana" w:hAnsi="Verdana" w:cs="Arial"/>
          <w:sz w:val="22"/>
          <w:szCs w:val="22"/>
        </w:rPr>
      </w:pPr>
      <w:r w:rsidRPr="00617AE9">
        <w:rPr>
          <w:rFonts w:ascii="Verdana" w:hAnsi="Verdana" w:cs="Arial"/>
          <w:b/>
          <w:sz w:val="22"/>
          <w:szCs w:val="22"/>
        </w:rPr>
        <w:t xml:space="preserve">NTC 4435 </w:t>
      </w:r>
      <w:r w:rsidR="00AE257D">
        <w:rPr>
          <w:rFonts w:ascii="Verdana" w:hAnsi="Verdana" w:cs="Arial"/>
          <w:sz w:val="22"/>
          <w:szCs w:val="22"/>
        </w:rPr>
        <w:t>“Transporte de mercancías. H</w:t>
      </w:r>
      <w:r w:rsidRPr="00617AE9">
        <w:rPr>
          <w:rFonts w:ascii="Verdana" w:hAnsi="Verdana" w:cs="Arial"/>
          <w:sz w:val="22"/>
          <w:szCs w:val="22"/>
        </w:rPr>
        <w:t>ojas de datos de seguridad para materiales</w:t>
      </w:r>
      <w:r w:rsidR="00AE257D">
        <w:rPr>
          <w:rFonts w:ascii="Verdana" w:hAnsi="Verdana" w:cs="Arial"/>
          <w:sz w:val="22"/>
          <w:szCs w:val="22"/>
        </w:rPr>
        <w:t>. Preparación</w:t>
      </w:r>
      <w:r w:rsidRPr="00617AE9">
        <w:rPr>
          <w:rFonts w:ascii="Verdana" w:hAnsi="Verdana" w:cs="Arial"/>
          <w:sz w:val="22"/>
          <w:szCs w:val="22"/>
        </w:rPr>
        <w:t xml:space="preserve">” </w:t>
      </w:r>
    </w:p>
    <w:p w14:paraId="0934445F" w14:textId="77777777" w:rsidR="00D94A8F" w:rsidRPr="00617AE9" w:rsidRDefault="00D94A8F" w:rsidP="00AE257D">
      <w:pPr>
        <w:spacing w:after="240" w:line="276" w:lineRule="auto"/>
        <w:jc w:val="both"/>
        <w:rPr>
          <w:rFonts w:ascii="Verdana" w:hAnsi="Verdana" w:cs="Arial"/>
          <w:sz w:val="22"/>
          <w:szCs w:val="22"/>
          <w:lang w:val="es" w:eastAsia="es-ES"/>
        </w:rPr>
      </w:pPr>
      <w:r w:rsidRPr="00617AE9">
        <w:rPr>
          <w:rFonts w:ascii="Verdana" w:hAnsi="Verdana" w:cs="Arial"/>
          <w:sz w:val="22"/>
          <w:szCs w:val="22"/>
          <w:lang w:val="es" w:eastAsia="es-ES"/>
        </w:rPr>
        <w:t>En la legislación colombiana, en particular la Ley 55 de 1993 y el Decreto – Ley 1295 de 1994, obliga a todas las empresas y entidades, a la organización y desarrollo de sistemas de prevención y protección de los trabajadores que, en cualquier forma, utilicen o manipulen productos químicos durante la ejecución de su trabajo. También, el Decreto 1973 de 1995, por el cual se promulga el Convenio 170, manifiesta que la protección de los trabajadores contra los efectos nocivos de los productos químicos, contribuye también a la protección del público en general y el medio ambiente.</w:t>
      </w:r>
    </w:p>
    <w:p w14:paraId="7FF7EF79" w14:textId="77777777" w:rsidR="00D94A8F" w:rsidRPr="00617AE9" w:rsidRDefault="00D94A8F" w:rsidP="00AE257D">
      <w:pPr>
        <w:spacing w:after="240"/>
        <w:ind w:right="-142"/>
        <w:jc w:val="both"/>
        <w:rPr>
          <w:rFonts w:ascii="Verdana" w:hAnsi="Verdana" w:cs="Arial"/>
          <w:sz w:val="22"/>
          <w:szCs w:val="22"/>
          <w:lang w:val="es" w:eastAsia="es-ES"/>
        </w:rPr>
      </w:pPr>
      <w:r w:rsidRPr="00617AE9">
        <w:rPr>
          <w:rFonts w:ascii="Verdana" w:hAnsi="Verdana" w:cs="Arial"/>
          <w:sz w:val="22"/>
          <w:szCs w:val="22"/>
          <w:lang w:val="es" w:eastAsia="es-ES"/>
        </w:rPr>
        <w:t>Por lo anterior, y de acuerdo con el artículo segundo de la Ley 55 de 1993, la expresión “utilización de productos químicos en el trabajo” implica toda actividad laboral que podría exponer a un trabajador a un producto químico y comprende:</w:t>
      </w:r>
    </w:p>
    <w:p w14:paraId="6CE79C7B" w14:textId="77777777" w:rsidR="00D94A8F" w:rsidRPr="00617AE9" w:rsidRDefault="00D94A8F" w:rsidP="00AE257D">
      <w:pPr>
        <w:spacing w:after="240"/>
        <w:ind w:right="-93"/>
        <w:jc w:val="both"/>
        <w:rPr>
          <w:rFonts w:ascii="Verdana" w:hAnsi="Verdana" w:cs="Arial"/>
          <w:sz w:val="22"/>
          <w:szCs w:val="22"/>
          <w:lang w:val="es" w:eastAsia="es-ES"/>
        </w:rPr>
      </w:pPr>
      <w:r w:rsidRPr="00617AE9">
        <w:rPr>
          <w:rFonts w:ascii="Verdana" w:hAnsi="Verdana" w:cs="Arial"/>
          <w:sz w:val="22"/>
          <w:szCs w:val="22"/>
          <w:lang w:val="es" w:eastAsia="es-ES"/>
        </w:rPr>
        <w:t>• La producción de productos químicos</w:t>
      </w:r>
    </w:p>
    <w:p w14:paraId="0C6B0BFB" w14:textId="77777777" w:rsidR="00D94A8F" w:rsidRPr="00617AE9" w:rsidRDefault="00D94A8F" w:rsidP="00AE257D">
      <w:pPr>
        <w:spacing w:after="240"/>
        <w:ind w:right="-93"/>
        <w:jc w:val="both"/>
        <w:rPr>
          <w:rFonts w:ascii="Verdana" w:hAnsi="Verdana" w:cs="Arial"/>
          <w:sz w:val="22"/>
          <w:szCs w:val="22"/>
          <w:lang w:val="es" w:eastAsia="es-ES"/>
        </w:rPr>
      </w:pPr>
      <w:r w:rsidRPr="00617AE9">
        <w:rPr>
          <w:rFonts w:ascii="Verdana" w:hAnsi="Verdana" w:cs="Arial"/>
          <w:sz w:val="22"/>
          <w:szCs w:val="22"/>
          <w:lang w:val="es" w:eastAsia="es-ES"/>
        </w:rPr>
        <w:t>• La manipulación de productos químicos</w:t>
      </w:r>
    </w:p>
    <w:p w14:paraId="01B741E0" w14:textId="77777777" w:rsidR="00D94A8F" w:rsidRPr="00617AE9" w:rsidRDefault="00D94A8F" w:rsidP="00AE257D">
      <w:pPr>
        <w:spacing w:after="240"/>
        <w:ind w:right="-93"/>
        <w:jc w:val="both"/>
        <w:rPr>
          <w:rFonts w:ascii="Verdana" w:hAnsi="Verdana" w:cs="Arial"/>
          <w:sz w:val="22"/>
          <w:szCs w:val="22"/>
          <w:lang w:val="es" w:eastAsia="es-ES"/>
        </w:rPr>
      </w:pPr>
      <w:r w:rsidRPr="00617AE9">
        <w:rPr>
          <w:rFonts w:ascii="Verdana" w:hAnsi="Verdana" w:cs="Arial"/>
          <w:sz w:val="22"/>
          <w:szCs w:val="22"/>
          <w:lang w:val="es" w:eastAsia="es-ES"/>
        </w:rPr>
        <w:t>• El almacenamiento de productos químicos</w:t>
      </w:r>
    </w:p>
    <w:p w14:paraId="6E66EFDC" w14:textId="77777777" w:rsidR="00D94A8F" w:rsidRPr="00617AE9" w:rsidRDefault="00D94A8F" w:rsidP="00AE257D">
      <w:pPr>
        <w:spacing w:after="240"/>
        <w:ind w:right="-93"/>
        <w:jc w:val="both"/>
        <w:rPr>
          <w:rFonts w:ascii="Verdana" w:hAnsi="Verdana" w:cs="Arial"/>
          <w:sz w:val="22"/>
          <w:szCs w:val="22"/>
          <w:lang w:val="es" w:eastAsia="es-ES"/>
        </w:rPr>
      </w:pPr>
      <w:r w:rsidRPr="00617AE9">
        <w:rPr>
          <w:rFonts w:ascii="Verdana" w:hAnsi="Verdana" w:cs="Arial"/>
          <w:sz w:val="22"/>
          <w:szCs w:val="22"/>
          <w:lang w:val="es" w:eastAsia="es-ES"/>
        </w:rPr>
        <w:t>• El transporte de productos químicos</w:t>
      </w:r>
    </w:p>
    <w:p w14:paraId="7E0CC1AF" w14:textId="77777777" w:rsidR="00D94A8F" w:rsidRPr="00617AE9" w:rsidRDefault="00D94A8F" w:rsidP="00AE257D">
      <w:pPr>
        <w:spacing w:after="240"/>
        <w:ind w:right="-93"/>
        <w:jc w:val="both"/>
        <w:rPr>
          <w:rFonts w:ascii="Verdana" w:hAnsi="Verdana" w:cs="Arial"/>
          <w:sz w:val="22"/>
          <w:szCs w:val="22"/>
          <w:lang w:val="es" w:eastAsia="es-ES"/>
        </w:rPr>
      </w:pPr>
      <w:r w:rsidRPr="00617AE9">
        <w:rPr>
          <w:rFonts w:ascii="Verdana" w:hAnsi="Verdana" w:cs="Arial"/>
          <w:sz w:val="22"/>
          <w:szCs w:val="22"/>
          <w:lang w:val="es" w:eastAsia="es-ES"/>
        </w:rPr>
        <w:lastRenderedPageBreak/>
        <w:t>• La eliminación y el tratamiento de los desechos de productos químicos</w:t>
      </w:r>
    </w:p>
    <w:p w14:paraId="4A6F4398" w14:textId="77777777" w:rsidR="00D94A8F" w:rsidRPr="00617AE9" w:rsidRDefault="00D94A8F" w:rsidP="00AE257D">
      <w:pPr>
        <w:spacing w:after="240"/>
        <w:ind w:right="-93"/>
        <w:jc w:val="both"/>
        <w:rPr>
          <w:rFonts w:ascii="Verdana" w:hAnsi="Verdana" w:cs="Arial"/>
          <w:sz w:val="22"/>
          <w:szCs w:val="22"/>
          <w:lang w:val="es" w:eastAsia="es-ES"/>
        </w:rPr>
      </w:pPr>
      <w:r w:rsidRPr="00617AE9">
        <w:rPr>
          <w:rFonts w:ascii="Verdana" w:hAnsi="Verdana" w:cs="Arial"/>
          <w:sz w:val="22"/>
          <w:szCs w:val="22"/>
          <w:lang w:val="es" w:eastAsia="es-ES"/>
        </w:rPr>
        <w:t>• La emisión de productos químicos resultante del trabajo</w:t>
      </w:r>
    </w:p>
    <w:p w14:paraId="556295FB" w14:textId="77777777" w:rsidR="00D94A8F" w:rsidRPr="00617AE9" w:rsidRDefault="00D94A8F" w:rsidP="00AE257D">
      <w:pPr>
        <w:pStyle w:val="Prrafodelista"/>
        <w:numPr>
          <w:ilvl w:val="0"/>
          <w:numId w:val="29"/>
        </w:numPr>
        <w:autoSpaceDN/>
        <w:spacing w:after="240"/>
        <w:ind w:right="-93"/>
        <w:jc w:val="both"/>
        <w:textAlignment w:val="auto"/>
        <w:rPr>
          <w:rFonts w:ascii="Verdana" w:hAnsi="Verdana"/>
        </w:rPr>
      </w:pPr>
      <w:r w:rsidRPr="00617AE9">
        <w:rPr>
          <w:rFonts w:ascii="Verdana" w:hAnsi="Verdana"/>
        </w:rPr>
        <w:t>Ley 9 de 1979: Art. 102, Congreso de la República Por la cual se dictan Medidas Sanitarias.</w:t>
      </w:r>
    </w:p>
    <w:p w14:paraId="42209B78" w14:textId="77777777" w:rsidR="00D94A8F" w:rsidRPr="00617AE9" w:rsidRDefault="00D94A8F" w:rsidP="00AE257D">
      <w:pPr>
        <w:pStyle w:val="Prrafodelista"/>
        <w:numPr>
          <w:ilvl w:val="0"/>
          <w:numId w:val="29"/>
        </w:numPr>
        <w:autoSpaceDN/>
        <w:spacing w:after="240"/>
        <w:ind w:right="-93"/>
        <w:jc w:val="both"/>
        <w:textAlignment w:val="auto"/>
        <w:rPr>
          <w:rFonts w:ascii="Verdana" w:hAnsi="Verdana"/>
        </w:rPr>
      </w:pPr>
      <w:r w:rsidRPr="00617AE9">
        <w:rPr>
          <w:rFonts w:ascii="Verdana" w:hAnsi="Verdana"/>
        </w:rPr>
        <w:t xml:space="preserve">Ley 55 de 1993: Art. 7, Art. 8, numeral 1, 12, 13, 15, 17, 18, Por medio de la cual se aprueba el "Convenio No. 170 y la Recomendación número 177 sobre la Seguridad en la Utilización de los Productos Químicos en el trabajo”, adoptados por la 77a. Reunión de la Conferencia General de la O.I.T., Ginebra, 1990 </w:t>
      </w:r>
    </w:p>
    <w:p w14:paraId="77F929E6" w14:textId="77777777" w:rsidR="00D94A8F" w:rsidRPr="00617AE9" w:rsidRDefault="00D94A8F" w:rsidP="00AE257D">
      <w:pPr>
        <w:pStyle w:val="Prrafodelista"/>
        <w:numPr>
          <w:ilvl w:val="0"/>
          <w:numId w:val="29"/>
        </w:numPr>
        <w:autoSpaceDN/>
        <w:spacing w:after="240"/>
        <w:ind w:right="-93"/>
        <w:jc w:val="both"/>
        <w:textAlignment w:val="auto"/>
        <w:rPr>
          <w:rFonts w:ascii="Verdana" w:hAnsi="Verdana"/>
        </w:rPr>
      </w:pPr>
      <w:r w:rsidRPr="00617AE9">
        <w:rPr>
          <w:rFonts w:ascii="Verdana" w:hAnsi="Verdana"/>
        </w:rPr>
        <w:t xml:space="preserve">Resolución 1016 de 1989: Art. 10, numeral 6, Art. 14, numeral 1, Por la cual se reglamenta la organización, funcionamiento y forma de los Programas de Salud Ocupacional que deben desarrollar los patronos o empleadores en el país. </w:t>
      </w:r>
    </w:p>
    <w:p w14:paraId="2CC95E8F" w14:textId="77777777" w:rsidR="00D94A8F" w:rsidRPr="00617AE9" w:rsidRDefault="00D94A8F" w:rsidP="00AE257D">
      <w:pPr>
        <w:pStyle w:val="Prrafodelista"/>
        <w:numPr>
          <w:ilvl w:val="0"/>
          <w:numId w:val="29"/>
        </w:numPr>
        <w:autoSpaceDN/>
        <w:spacing w:after="240"/>
        <w:ind w:right="-93"/>
        <w:jc w:val="both"/>
        <w:textAlignment w:val="auto"/>
        <w:rPr>
          <w:rFonts w:ascii="Verdana" w:hAnsi="Verdana"/>
        </w:rPr>
      </w:pPr>
      <w:r w:rsidRPr="00617AE9">
        <w:rPr>
          <w:rFonts w:ascii="Verdana" w:hAnsi="Verdana"/>
        </w:rPr>
        <w:t xml:space="preserve">Resolución 2400 de 1979. Estatuto de Seguridad Industrial. Título III Normas generales sobre riesgos, físicos, químicos, biológicos en los establecimientos de trabajo. Capitulo X de las substancias infecciosas y tóxicas. Artículo 164. </w:t>
      </w:r>
    </w:p>
    <w:p w14:paraId="443D4D1F" w14:textId="77777777" w:rsidR="00D94A8F" w:rsidRPr="00617AE9" w:rsidRDefault="00D94A8F" w:rsidP="00AE257D">
      <w:pPr>
        <w:pStyle w:val="Prrafodelista"/>
        <w:numPr>
          <w:ilvl w:val="0"/>
          <w:numId w:val="29"/>
        </w:numPr>
        <w:autoSpaceDN/>
        <w:spacing w:after="240"/>
        <w:ind w:right="-93"/>
        <w:jc w:val="both"/>
        <w:textAlignment w:val="auto"/>
        <w:rPr>
          <w:rFonts w:ascii="Verdana" w:hAnsi="Verdana"/>
        </w:rPr>
      </w:pPr>
      <w:r w:rsidRPr="00617AE9">
        <w:rPr>
          <w:rFonts w:ascii="Verdana" w:hAnsi="Verdana"/>
        </w:rPr>
        <w:t xml:space="preserve">Decreto 1489 de 2018 Resolución 773 de 2021 por el cual se adopta el Sistema Globalmente Armonizado de Clasificación y Etiquetado de Productos Químicos y se dictan otras disposiciones en materia de seguridad química. </w:t>
      </w:r>
    </w:p>
    <w:p w14:paraId="7EC46870" w14:textId="77777777" w:rsidR="00D94A8F" w:rsidRPr="00617AE9" w:rsidRDefault="00D94A8F" w:rsidP="00AE257D">
      <w:pPr>
        <w:pStyle w:val="Prrafodelista"/>
        <w:numPr>
          <w:ilvl w:val="0"/>
          <w:numId w:val="29"/>
        </w:numPr>
        <w:autoSpaceDN/>
        <w:spacing w:after="240"/>
        <w:ind w:right="-93"/>
        <w:jc w:val="both"/>
        <w:textAlignment w:val="auto"/>
        <w:rPr>
          <w:rFonts w:ascii="Verdana" w:hAnsi="Verdana" w:cs="Arial"/>
          <w:lang w:val="es" w:eastAsia="es-ES"/>
        </w:rPr>
      </w:pPr>
      <w:r w:rsidRPr="00617AE9">
        <w:rPr>
          <w:rFonts w:ascii="Verdana" w:hAnsi="Verdana"/>
        </w:rPr>
        <w:t>Resolución 773 de 2021 Por la cual se definen las acciones que deben desarrollar los empleadores para la aplicación del Sistema Globalmente Armonizado (SGA) de Clasificación y Etiquetado de Productos Químicos en los lugares de trabajo y se dictan otras disposiciones en materia de seguridad química</w:t>
      </w:r>
    </w:p>
    <w:p w14:paraId="00AB9838" w14:textId="77777777" w:rsidR="00D94A8F" w:rsidRPr="00617AE9" w:rsidRDefault="00D94A8F" w:rsidP="00AE257D">
      <w:pPr>
        <w:pStyle w:val="Ttulo2"/>
        <w:spacing w:after="240"/>
        <w:rPr>
          <w:rFonts w:ascii="Verdana" w:hAnsi="Verdana" w:cs="Arial"/>
          <w:b/>
          <w:i/>
          <w:color w:val="auto"/>
          <w:sz w:val="22"/>
          <w:szCs w:val="22"/>
          <w:lang w:val="es" w:eastAsia="ar-SA"/>
        </w:rPr>
      </w:pPr>
      <w:bookmarkStart w:id="4" w:name="_Toc73035930"/>
      <w:r w:rsidRPr="00617AE9">
        <w:rPr>
          <w:rFonts w:ascii="Verdana" w:hAnsi="Verdana" w:cs="Arial"/>
          <w:b/>
          <w:color w:val="auto"/>
          <w:sz w:val="22"/>
          <w:szCs w:val="22"/>
          <w:lang w:val="es" w:eastAsia="ar-SA"/>
        </w:rPr>
        <w:t>5.   DEFINICIONES</w:t>
      </w:r>
      <w:bookmarkEnd w:id="4"/>
    </w:p>
    <w:p w14:paraId="304367B3" w14:textId="77777777" w:rsidR="00D94A8F" w:rsidRPr="00617AE9" w:rsidRDefault="00D94A8F" w:rsidP="00AE257D">
      <w:pPr>
        <w:spacing w:after="240" w:line="276" w:lineRule="auto"/>
        <w:jc w:val="both"/>
        <w:rPr>
          <w:rFonts w:ascii="Verdana" w:hAnsi="Verdana" w:cs="Arial"/>
          <w:sz w:val="22"/>
          <w:szCs w:val="22"/>
          <w:shd w:val="clear" w:color="auto" w:fill="FFFFFF"/>
        </w:rPr>
      </w:pPr>
      <w:r w:rsidRPr="00617AE9">
        <w:rPr>
          <w:rFonts w:ascii="Verdana" w:hAnsi="Verdana" w:cs="Arial"/>
          <w:b/>
          <w:sz w:val="22"/>
          <w:szCs w:val="22"/>
          <w:shd w:val="clear" w:color="auto" w:fill="FFFFFF"/>
        </w:rPr>
        <w:t>Elementos de Protección Personal:</w:t>
      </w:r>
      <w:r w:rsidRPr="00617AE9">
        <w:rPr>
          <w:rFonts w:ascii="Verdana" w:hAnsi="Verdana" w:cs="Arial"/>
          <w:sz w:val="22"/>
          <w:szCs w:val="22"/>
          <w:shd w:val="clear" w:color="auto" w:fill="FFFFFF"/>
        </w:rPr>
        <w:t xml:space="preserve"> Tienen como función principal proteger diferentes partes del cuerpo, para evitar que un trabajador tenga contacto directo con factores de riesgo que le puedan ocasionar una lesión o enfermedad.</w:t>
      </w:r>
    </w:p>
    <w:p w14:paraId="5881A616" w14:textId="77777777" w:rsidR="00D94A8F" w:rsidRPr="00617AE9" w:rsidRDefault="00D94A8F" w:rsidP="00AE257D">
      <w:pPr>
        <w:spacing w:after="240" w:line="276" w:lineRule="auto"/>
        <w:jc w:val="both"/>
        <w:rPr>
          <w:rFonts w:ascii="Verdana" w:hAnsi="Verdana" w:cs="Arial"/>
          <w:sz w:val="22"/>
          <w:szCs w:val="22"/>
        </w:rPr>
      </w:pPr>
      <w:r w:rsidRPr="00617AE9">
        <w:rPr>
          <w:rFonts w:ascii="Verdana" w:hAnsi="Verdana" w:cs="Arial"/>
          <w:b/>
          <w:sz w:val="22"/>
          <w:szCs w:val="22"/>
        </w:rPr>
        <w:t>Hoja de seguridad:</w:t>
      </w:r>
      <w:r w:rsidRPr="00617AE9">
        <w:rPr>
          <w:rFonts w:ascii="Verdana" w:hAnsi="Verdana" w:cs="Arial"/>
          <w:sz w:val="22"/>
          <w:szCs w:val="22"/>
        </w:rPr>
        <w:t xml:space="preserve"> Describe los riesgos de un material y suministra información sobre cómo se puede manipular, usar y almacenar el material con seguridad.</w:t>
      </w:r>
      <w:r w:rsidRPr="00617AE9">
        <w:rPr>
          <w:rFonts w:ascii="Verdana" w:hAnsi="Verdana"/>
          <w:sz w:val="22"/>
          <w:szCs w:val="22"/>
        </w:rPr>
        <w:t xml:space="preserve"> </w:t>
      </w:r>
      <w:r w:rsidRPr="00617AE9">
        <w:rPr>
          <w:rFonts w:ascii="Verdana" w:hAnsi="Verdana" w:cs="Arial"/>
          <w:sz w:val="22"/>
          <w:szCs w:val="22"/>
        </w:rPr>
        <w:t>Este se elabora en nuestro país, de acuerdo con lo estipulado en la Norma Técnica Colombiana - NTC 4435, anexo N° 2.</w:t>
      </w:r>
    </w:p>
    <w:p w14:paraId="63D35035" w14:textId="77777777" w:rsidR="00D94A8F" w:rsidRPr="00617AE9" w:rsidRDefault="00D94A8F" w:rsidP="00AE257D">
      <w:pPr>
        <w:spacing w:after="240" w:line="276" w:lineRule="auto"/>
        <w:jc w:val="both"/>
        <w:rPr>
          <w:rFonts w:ascii="Verdana" w:hAnsi="Verdana" w:cs="Arial"/>
          <w:bCs/>
          <w:sz w:val="22"/>
          <w:szCs w:val="22"/>
          <w:shd w:val="clear" w:color="auto" w:fill="FFFFFF"/>
        </w:rPr>
      </w:pPr>
      <w:r w:rsidRPr="00617AE9">
        <w:rPr>
          <w:rFonts w:ascii="Verdana" w:hAnsi="Verdana" w:cs="Arial"/>
          <w:b/>
          <w:sz w:val="22"/>
          <w:szCs w:val="22"/>
          <w:shd w:val="clear" w:color="auto" w:fill="FFFFFF"/>
        </w:rPr>
        <w:t xml:space="preserve">Sistema Globalmente Armonizado: </w:t>
      </w:r>
      <w:r w:rsidRPr="00617AE9">
        <w:rPr>
          <w:rFonts w:ascii="Verdana" w:hAnsi="Verdana" w:cs="Arial"/>
          <w:sz w:val="22"/>
          <w:szCs w:val="22"/>
          <w:shd w:val="clear" w:color="auto" w:fill="FFFFFF"/>
        </w:rPr>
        <w:t xml:space="preserve">La implementación del SGA en los países del Mercosur y Chile </w:t>
      </w:r>
      <w:r w:rsidRPr="00617AE9">
        <w:rPr>
          <w:rFonts w:ascii="Verdana" w:hAnsi="Verdana" w:cs="Arial"/>
          <w:bCs/>
          <w:sz w:val="22"/>
          <w:szCs w:val="22"/>
          <w:shd w:val="clear" w:color="auto" w:fill="FFFFFF"/>
        </w:rPr>
        <w:t>es una de las herramientas para avanzar hacia la protección del medio ambiente y la salud, a través de un sistema de comunicación de peligros armonizado y comprensible para usuarios, fabricantes, trabajadores y consumidores.</w:t>
      </w:r>
    </w:p>
    <w:p w14:paraId="61734A1E" w14:textId="0EC371CA" w:rsidR="00D94A8F" w:rsidRPr="00617AE9" w:rsidRDefault="00D94A8F" w:rsidP="00AE257D">
      <w:pPr>
        <w:spacing w:after="240" w:line="276" w:lineRule="auto"/>
        <w:jc w:val="both"/>
        <w:rPr>
          <w:rFonts w:ascii="Verdana" w:hAnsi="Verdana" w:cs="Arial"/>
          <w:sz w:val="22"/>
          <w:szCs w:val="22"/>
          <w:shd w:val="clear" w:color="auto" w:fill="FFFFFF"/>
        </w:rPr>
      </w:pPr>
      <w:r w:rsidRPr="00617AE9">
        <w:rPr>
          <w:rFonts w:ascii="Verdana" w:hAnsi="Verdana" w:cs="Arial"/>
          <w:b/>
          <w:bCs/>
          <w:sz w:val="22"/>
          <w:szCs w:val="22"/>
          <w:shd w:val="clear" w:color="auto" w:fill="FFFFFF"/>
        </w:rPr>
        <w:t xml:space="preserve">Sustancia: </w:t>
      </w:r>
      <w:r w:rsidRPr="00617AE9">
        <w:rPr>
          <w:rFonts w:ascii="Verdana" w:hAnsi="Verdana" w:cs="Arial"/>
          <w:sz w:val="22"/>
          <w:szCs w:val="22"/>
          <w:shd w:val="clear" w:color="auto" w:fill="FFFFFF"/>
        </w:rPr>
        <w:t xml:space="preserve">Cuando una materia es homogénea, tiene una composición química definida, y posee las mismas propiedades intensivas en todos sus puntos. Las </w:t>
      </w:r>
      <w:r w:rsidRPr="00617AE9">
        <w:rPr>
          <w:rFonts w:ascii="Verdana" w:hAnsi="Verdana" w:cs="Arial"/>
          <w:bCs/>
          <w:sz w:val="22"/>
          <w:szCs w:val="22"/>
          <w:shd w:val="clear" w:color="auto" w:fill="FFFFFF"/>
        </w:rPr>
        <w:t xml:space="preserve">sustancias </w:t>
      </w:r>
      <w:r w:rsidRPr="00617AE9">
        <w:rPr>
          <w:rFonts w:ascii="Verdana" w:hAnsi="Verdana" w:cs="Arial"/>
          <w:sz w:val="22"/>
          <w:szCs w:val="22"/>
          <w:shd w:val="clear" w:color="auto" w:fill="FFFFFF"/>
        </w:rPr>
        <w:t>pueden encontrarse en los distintos estados de la materia: sólido, líquido y gaseoso.</w:t>
      </w:r>
    </w:p>
    <w:p w14:paraId="1EEF5544" w14:textId="77777777" w:rsidR="00D94A8F" w:rsidRPr="00617AE9" w:rsidRDefault="00D94A8F" w:rsidP="00AE257D">
      <w:pPr>
        <w:spacing w:after="240" w:line="276" w:lineRule="auto"/>
        <w:jc w:val="both"/>
        <w:rPr>
          <w:rFonts w:ascii="Verdana" w:hAnsi="Verdana" w:cs="Arial"/>
          <w:sz w:val="22"/>
          <w:szCs w:val="22"/>
          <w:shd w:val="clear" w:color="auto" w:fill="FFFFFF"/>
        </w:rPr>
      </w:pPr>
      <w:r w:rsidRPr="00617AE9">
        <w:rPr>
          <w:rFonts w:ascii="Verdana" w:hAnsi="Verdana" w:cs="Arial"/>
          <w:sz w:val="22"/>
          <w:szCs w:val="22"/>
          <w:shd w:val="clear" w:color="auto" w:fill="FFFFFF"/>
        </w:rPr>
        <w:t xml:space="preserve">Según OSHA una sustancia química es peligrosa para la salud, cuando hay evidencias estadísticamente significativas y basadas en estudios científicamente </w:t>
      </w:r>
      <w:r w:rsidRPr="00617AE9">
        <w:rPr>
          <w:rFonts w:ascii="Verdana" w:hAnsi="Verdana" w:cs="Arial"/>
          <w:sz w:val="22"/>
          <w:szCs w:val="22"/>
          <w:shd w:val="clear" w:color="auto" w:fill="FFFFFF"/>
        </w:rPr>
        <w:lastRenderedPageBreak/>
        <w:t>válidos, que demuestran que la exposición de individuos a esa sustancia puede ocasionar efectos agudos o crónicos en la salud.</w:t>
      </w:r>
    </w:p>
    <w:p w14:paraId="3F68A190" w14:textId="77777777" w:rsidR="00D94A8F" w:rsidRPr="00617AE9" w:rsidRDefault="00D94A8F" w:rsidP="00AE257D">
      <w:pPr>
        <w:spacing w:after="240"/>
        <w:ind w:right="-142"/>
        <w:jc w:val="both"/>
        <w:rPr>
          <w:rFonts w:ascii="Verdana" w:hAnsi="Verdana" w:cs="Arial"/>
          <w:sz w:val="22"/>
          <w:szCs w:val="22"/>
          <w:shd w:val="clear" w:color="auto" w:fill="FFFFFF"/>
        </w:rPr>
      </w:pPr>
      <w:r w:rsidRPr="00617AE9">
        <w:rPr>
          <w:rFonts w:ascii="Verdana" w:hAnsi="Verdana" w:cs="Arial"/>
          <w:sz w:val="22"/>
          <w:szCs w:val="22"/>
          <w:shd w:val="clear" w:color="auto" w:fill="FFFFFF"/>
        </w:rPr>
        <w:t>MSDS (Material Safety Data Sheet) - Hoja de Seguridad de Materiales: Documento que describe los riesgos de un producto químico y suministra información sobre cómo se puede manipular, usar y almacenar con seguridad. Este se elabora en nuestro país, de acuerdo con lo estipulado en la Norma Técnica Colombiana - NTC 4435, anexo N° 2.</w:t>
      </w:r>
    </w:p>
    <w:p w14:paraId="3ACF1EA0" w14:textId="77777777" w:rsidR="00D94A8F" w:rsidRPr="00617AE9" w:rsidRDefault="00D94A8F" w:rsidP="00AE257D">
      <w:pPr>
        <w:spacing w:after="240"/>
        <w:ind w:right="-142"/>
        <w:jc w:val="both"/>
        <w:rPr>
          <w:rFonts w:ascii="Verdana" w:hAnsi="Verdana" w:cs="Arial"/>
          <w:sz w:val="22"/>
          <w:szCs w:val="22"/>
          <w:shd w:val="clear" w:color="auto" w:fill="FFFFFF"/>
        </w:rPr>
      </w:pPr>
      <w:r w:rsidRPr="00617AE9">
        <w:rPr>
          <w:rFonts w:ascii="Verdana" w:hAnsi="Verdana" w:cs="Arial"/>
          <w:sz w:val="22"/>
          <w:szCs w:val="22"/>
          <w:shd w:val="clear" w:color="auto" w:fill="FFFFFF"/>
        </w:rPr>
        <w:t>Contenido de las MSDS: ha establecido el siguiente contenido para sus hojas de seguridad de materiales, las cuales contienen 16 secciones, de acuerdo con la norma NTC 4435.</w:t>
      </w:r>
    </w:p>
    <w:p w14:paraId="63CC0B61" w14:textId="77777777" w:rsidR="00D94A8F" w:rsidRPr="00617AE9" w:rsidRDefault="00D94A8F" w:rsidP="00AE257D">
      <w:pPr>
        <w:spacing w:after="240"/>
        <w:ind w:right="-142"/>
        <w:jc w:val="both"/>
        <w:rPr>
          <w:rFonts w:ascii="Verdana" w:hAnsi="Verdana" w:cs="Arial"/>
          <w:sz w:val="22"/>
          <w:szCs w:val="22"/>
          <w:lang w:val="es" w:eastAsia="es-ES"/>
        </w:rPr>
      </w:pPr>
      <w:r w:rsidRPr="00617AE9">
        <w:rPr>
          <w:rFonts w:ascii="Verdana" w:hAnsi="Verdana" w:cs="Arial"/>
          <w:sz w:val="22"/>
          <w:szCs w:val="22"/>
          <w:lang w:val="es" w:eastAsia="es-ES"/>
        </w:rPr>
        <w:t xml:space="preserve">1. </w:t>
      </w:r>
      <w:r w:rsidRPr="00617AE9">
        <w:rPr>
          <w:rFonts w:ascii="Verdana" w:hAnsi="Verdana" w:cs="Arial"/>
          <w:b/>
          <w:sz w:val="22"/>
          <w:szCs w:val="22"/>
          <w:lang w:val="es" w:eastAsia="es-ES"/>
        </w:rPr>
        <w:t>Identificación del producto químico y la compañía:</w:t>
      </w:r>
      <w:r w:rsidRPr="00617AE9">
        <w:rPr>
          <w:rFonts w:ascii="Verdana" w:hAnsi="Verdana" w:cs="Arial"/>
          <w:sz w:val="22"/>
          <w:szCs w:val="22"/>
          <w:lang w:val="es" w:eastAsia="es-ES"/>
        </w:rPr>
        <w:t xml:space="preserve"> Proporciona el nombre del material tal como aparece en la etiqueta, se complementa con los sinónimos en caso de que los tenga. Identifica al fabricante y suministra información acerca del mismo como su dirección física y teléfonos, líneas de emergencia, página Web (si existe), correo electrónico.</w:t>
      </w:r>
    </w:p>
    <w:p w14:paraId="3B38F1B8" w14:textId="77777777" w:rsidR="00D94A8F" w:rsidRPr="00617AE9" w:rsidRDefault="00D94A8F" w:rsidP="00AE257D">
      <w:pPr>
        <w:spacing w:after="240"/>
        <w:ind w:right="-93"/>
        <w:jc w:val="both"/>
        <w:rPr>
          <w:rFonts w:ascii="Verdana" w:hAnsi="Verdana" w:cs="Arial"/>
          <w:sz w:val="22"/>
          <w:szCs w:val="22"/>
          <w:lang w:val="es" w:eastAsia="es-ES"/>
        </w:rPr>
      </w:pPr>
      <w:r w:rsidRPr="00617AE9">
        <w:rPr>
          <w:rFonts w:ascii="Verdana" w:hAnsi="Verdana" w:cs="Arial"/>
          <w:sz w:val="22"/>
          <w:szCs w:val="22"/>
          <w:lang w:val="es" w:eastAsia="es-ES"/>
        </w:rPr>
        <w:t xml:space="preserve">2. </w:t>
      </w:r>
      <w:r w:rsidRPr="00617AE9">
        <w:rPr>
          <w:rFonts w:ascii="Verdana" w:hAnsi="Verdana" w:cs="Arial"/>
          <w:b/>
          <w:sz w:val="22"/>
          <w:szCs w:val="22"/>
          <w:lang w:val="es" w:eastAsia="es-ES"/>
        </w:rPr>
        <w:t>Composición e información sobre los ingredientes:</w:t>
      </w:r>
      <w:r w:rsidRPr="00617AE9">
        <w:rPr>
          <w:rFonts w:ascii="Verdana" w:hAnsi="Verdana" w:cs="Arial"/>
          <w:sz w:val="22"/>
          <w:szCs w:val="22"/>
          <w:lang w:val="es" w:eastAsia="es-ES"/>
        </w:rPr>
        <w:t xml:space="preserve"> Identifica los componentes</w:t>
      </w:r>
    </w:p>
    <w:p w14:paraId="129DFB42" w14:textId="77777777" w:rsidR="00D94A8F" w:rsidRPr="00617AE9" w:rsidRDefault="00D94A8F" w:rsidP="00AE257D">
      <w:pPr>
        <w:spacing w:after="240"/>
        <w:ind w:right="-142"/>
        <w:jc w:val="both"/>
        <w:rPr>
          <w:rFonts w:ascii="Verdana" w:hAnsi="Verdana" w:cs="Arial"/>
          <w:sz w:val="22"/>
          <w:szCs w:val="22"/>
          <w:lang w:val="es" w:eastAsia="es-ES"/>
        </w:rPr>
      </w:pPr>
      <w:r w:rsidRPr="00617AE9">
        <w:rPr>
          <w:rFonts w:ascii="Verdana" w:hAnsi="Verdana" w:cs="Arial"/>
          <w:sz w:val="22"/>
          <w:szCs w:val="22"/>
          <w:lang w:val="es" w:eastAsia="es-ES"/>
        </w:rPr>
        <w:t>De un material.  Incluye el CAS de cada componente y el porcentaje de cada uno de ellos presente en el producto.</w:t>
      </w:r>
    </w:p>
    <w:p w14:paraId="558B79FB" w14:textId="77777777" w:rsidR="00D94A8F" w:rsidRPr="00617AE9" w:rsidRDefault="00D94A8F" w:rsidP="00AE257D">
      <w:pPr>
        <w:spacing w:after="240" w:line="276" w:lineRule="auto"/>
        <w:ind w:right="-142"/>
        <w:jc w:val="both"/>
        <w:rPr>
          <w:rFonts w:ascii="Verdana" w:hAnsi="Verdana" w:cs="Arial"/>
          <w:sz w:val="22"/>
          <w:szCs w:val="22"/>
          <w:lang w:val="es" w:eastAsia="es-ES"/>
        </w:rPr>
      </w:pPr>
      <w:r w:rsidRPr="00617AE9">
        <w:rPr>
          <w:rFonts w:ascii="Verdana" w:hAnsi="Verdana" w:cs="Arial"/>
          <w:sz w:val="22"/>
          <w:szCs w:val="22"/>
          <w:lang w:val="es" w:eastAsia="es-ES"/>
        </w:rPr>
        <w:t xml:space="preserve">3.  </w:t>
      </w:r>
      <w:r w:rsidRPr="00617AE9">
        <w:rPr>
          <w:rFonts w:ascii="Verdana" w:hAnsi="Verdana" w:cs="Arial"/>
          <w:b/>
          <w:sz w:val="22"/>
          <w:szCs w:val="22"/>
          <w:lang w:val="es" w:eastAsia="es-ES"/>
        </w:rPr>
        <w:t>Identificación de peligros o identificación de riesgos</w:t>
      </w:r>
      <w:r w:rsidRPr="00617AE9">
        <w:rPr>
          <w:rFonts w:ascii="Verdana" w:hAnsi="Verdana" w:cs="Arial"/>
          <w:sz w:val="22"/>
          <w:szCs w:val="22"/>
          <w:lang w:val="es" w:eastAsia="es-ES"/>
        </w:rPr>
        <w:t>: Se divide en dos secciones. La primera de ellas brinda una visión resumida de las emergencias, asociada al principal riesgo del producto. En la segunda se describen los efectos a la salud, ya sean agudos, crónicos o ambos. Dentro de los efectos agudos, se describe qué le pasa al usuario si el producto entra en contacto con sus ojos, su piel, si es inhalado o ingerido. Los efectos crónicos, son los que se presentan después de una exposición repetida o prolongada al producto. Se complementa con los órganos blanco o diana (se refiere al órgano que ataca la sustancia, ej. el hígado), en caso de que tal información sea conocida para el producto estudiado.</w:t>
      </w:r>
    </w:p>
    <w:p w14:paraId="63543A51" w14:textId="77777777" w:rsidR="00D94A8F" w:rsidRPr="00617AE9" w:rsidRDefault="00D94A8F" w:rsidP="00AE257D">
      <w:pPr>
        <w:spacing w:after="240" w:line="276" w:lineRule="auto"/>
        <w:ind w:right="-142"/>
        <w:jc w:val="both"/>
        <w:rPr>
          <w:rFonts w:ascii="Verdana" w:hAnsi="Verdana" w:cs="Arial"/>
          <w:sz w:val="22"/>
          <w:szCs w:val="22"/>
          <w:lang w:val="es" w:eastAsia="es-ES"/>
        </w:rPr>
      </w:pPr>
      <w:r w:rsidRPr="00617AE9">
        <w:rPr>
          <w:rFonts w:ascii="Verdana" w:hAnsi="Verdana" w:cs="Arial"/>
          <w:sz w:val="22"/>
          <w:szCs w:val="22"/>
          <w:lang w:val="es" w:eastAsia="es-ES"/>
        </w:rPr>
        <w:t xml:space="preserve">4.  </w:t>
      </w:r>
      <w:r w:rsidRPr="00617AE9">
        <w:rPr>
          <w:rFonts w:ascii="Verdana" w:hAnsi="Verdana" w:cs="Arial"/>
          <w:b/>
          <w:sz w:val="22"/>
          <w:szCs w:val="22"/>
          <w:lang w:val="es" w:eastAsia="es-ES"/>
        </w:rPr>
        <w:t>Medidas de primeros auxilios:</w:t>
      </w:r>
      <w:r w:rsidRPr="00617AE9">
        <w:rPr>
          <w:rFonts w:ascii="Verdana" w:hAnsi="Verdana" w:cs="Arial"/>
          <w:sz w:val="22"/>
          <w:szCs w:val="22"/>
          <w:lang w:val="es" w:eastAsia="es-ES"/>
        </w:rPr>
        <w:t xml:space="preserve"> Conjunto de instrucciones sencillas que le indican a los usuarios qué hacer en caso de que ocurra un contacto del producto con la persona. Se practican lo más pronto posible y no reemplazan la ayuda que le pueda dar el médico o el personal entrenado en urgencias médicas. Describen qué hacer si el producto cae en los ojos o en la piel, si es inhalado o si es ingerido. En algunos casos, trae notas al médico.</w:t>
      </w:r>
    </w:p>
    <w:p w14:paraId="1CBD5D95" w14:textId="77777777" w:rsidR="00D94A8F" w:rsidRPr="00617AE9" w:rsidRDefault="00D94A8F" w:rsidP="00AE257D">
      <w:pPr>
        <w:spacing w:after="240" w:line="276" w:lineRule="auto"/>
        <w:ind w:right="-142"/>
        <w:jc w:val="both"/>
        <w:rPr>
          <w:rFonts w:ascii="Verdana" w:hAnsi="Verdana" w:cs="Arial"/>
          <w:sz w:val="22"/>
          <w:szCs w:val="22"/>
          <w:lang w:val="es" w:eastAsia="es-ES"/>
        </w:rPr>
      </w:pPr>
      <w:r w:rsidRPr="00617AE9">
        <w:rPr>
          <w:rFonts w:ascii="Verdana" w:hAnsi="Verdana" w:cs="Arial"/>
          <w:sz w:val="22"/>
          <w:szCs w:val="22"/>
          <w:lang w:val="es" w:eastAsia="es-ES"/>
        </w:rPr>
        <w:t xml:space="preserve">5.  </w:t>
      </w:r>
      <w:r w:rsidRPr="00617AE9">
        <w:rPr>
          <w:rFonts w:ascii="Verdana" w:hAnsi="Verdana" w:cs="Arial"/>
          <w:b/>
          <w:sz w:val="22"/>
          <w:szCs w:val="22"/>
          <w:lang w:val="es" w:eastAsia="es-ES"/>
        </w:rPr>
        <w:t>Medidas</w:t>
      </w:r>
      <w:r w:rsidRPr="00617AE9">
        <w:rPr>
          <w:rFonts w:ascii="Verdana" w:hAnsi="Verdana" w:cs="Arial"/>
          <w:sz w:val="22"/>
          <w:szCs w:val="22"/>
          <w:lang w:val="es" w:eastAsia="es-ES"/>
        </w:rPr>
        <w:t xml:space="preserve"> </w:t>
      </w:r>
      <w:r w:rsidRPr="00617AE9">
        <w:rPr>
          <w:rFonts w:ascii="Verdana" w:hAnsi="Verdana" w:cs="Arial"/>
          <w:b/>
          <w:sz w:val="22"/>
          <w:szCs w:val="22"/>
          <w:lang w:val="es" w:eastAsia="es-ES"/>
        </w:rPr>
        <w:t>en caso de incendios:</w:t>
      </w:r>
      <w:r w:rsidRPr="00617AE9">
        <w:rPr>
          <w:rFonts w:ascii="Verdana" w:hAnsi="Verdana" w:cs="Arial"/>
          <w:sz w:val="22"/>
          <w:szCs w:val="22"/>
          <w:lang w:val="es" w:eastAsia="es-ES"/>
        </w:rPr>
        <w:t xml:space="preserve"> Incluye punto o temperatura de inflamación, temperatura de auto ignición o auto combustión, límites de explosividad inferior y superior cuando apliquen, clases de extintores para apagarlo y notas especiales acerca de cómo se comporta el producto durante un incendio. Normalmente en esta sección se incluye el Diamante o Rombo del fuego (norma NFPA 704, Anexo 1 del presente manual).</w:t>
      </w:r>
    </w:p>
    <w:p w14:paraId="6C864D3C" w14:textId="77777777" w:rsidR="00D94A8F" w:rsidRPr="00617AE9" w:rsidRDefault="00D94A8F" w:rsidP="00AE257D">
      <w:pPr>
        <w:spacing w:after="240" w:line="276" w:lineRule="auto"/>
        <w:ind w:right="-142"/>
        <w:jc w:val="both"/>
        <w:rPr>
          <w:rFonts w:ascii="Verdana" w:hAnsi="Verdana" w:cs="Arial"/>
          <w:sz w:val="22"/>
          <w:szCs w:val="22"/>
          <w:lang w:val="es" w:eastAsia="es-ES"/>
        </w:rPr>
      </w:pPr>
      <w:r w:rsidRPr="00617AE9">
        <w:rPr>
          <w:rFonts w:ascii="Verdana" w:hAnsi="Verdana" w:cs="Arial"/>
          <w:sz w:val="22"/>
          <w:szCs w:val="22"/>
          <w:lang w:val="es" w:eastAsia="es-ES"/>
        </w:rPr>
        <w:t xml:space="preserve">6.  </w:t>
      </w:r>
      <w:r w:rsidRPr="00617AE9">
        <w:rPr>
          <w:rFonts w:ascii="Verdana" w:hAnsi="Verdana" w:cs="Arial"/>
          <w:b/>
          <w:sz w:val="22"/>
          <w:szCs w:val="22"/>
          <w:lang w:val="es" w:eastAsia="es-ES"/>
        </w:rPr>
        <w:t>Medidas en caso de escape accidental:</w:t>
      </w:r>
      <w:r w:rsidRPr="00617AE9">
        <w:rPr>
          <w:rFonts w:ascii="Verdana" w:hAnsi="Verdana" w:cs="Arial"/>
          <w:sz w:val="22"/>
          <w:szCs w:val="22"/>
          <w:lang w:val="es" w:eastAsia="es-ES"/>
        </w:rPr>
        <w:t xml:space="preserve"> Conjunto de instrucciones que indican qué hacer en caso de que se presente una salpicadura o un derrame del producto y </w:t>
      </w:r>
      <w:r w:rsidRPr="00617AE9">
        <w:rPr>
          <w:rFonts w:ascii="Verdana" w:hAnsi="Verdana" w:cs="Arial"/>
          <w:sz w:val="22"/>
          <w:szCs w:val="22"/>
          <w:lang w:val="es" w:eastAsia="es-ES"/>
        </w:rPr>
        <w:lastRenderedPageBreak/>
        <w:t>cuyo objetivo es minimizar o prevenir los daños en las personas, el ambiente y los activos de la empresa. Incluye medidas para contener, recoger y limpiar.</w:t>
      </w:r>
    </w:p>
    <w:p w14:paraId="038E1DD2" w14:textId="77777777" w:rsidR="00D94A8F" w:rsidRPr="00617AE9" w:rsidRDefault="00D94A8F" w:rsidP="00AE257D">
      <w:pPr>
        <w:spacing w:after="240" w:line="276" w:lineRule="auto"/>
        <w:ind w:right="-142"/>
        <w:jc w:val="both"/>
        <w:rPr>
          <w:rFonts w:ascii="Verdana" w:hAnsi="Verdana" w:cs="Arial"/>
          <w:sz w:val="22"/>
          <w:szCs w:val="22"/>
          <w:lang w:val="es" w:eastAsia="es-ES"/>
        </w:rPr>
      </w:pPr>
      <w:r w:rsidRPr="00617AE9">
        <w:rPr>
          <w:rFonts w:ascii="Verdana" w:hAnsi="Verdana" w:cs="Arial"/>
          <w:sz w:val="22"/>
          <w:szCs w:val="22"/>
          <w:lang w:val="es" w:eastAsia="es-ES"/>
        </w:rPr>
        <w:t>7.</w:t>
      </w:r>
      <w:r w:rsidRPr="00617AE9">
        <w:rPr>
          <w:rFonts w:ascii="Verdana" w:hAnsi="Verdana" w:cs="Arial"/>
          <w:b/>
          <w:sz w:val="22"/>
          <w:szCs w:val="22"/>
          <w:lang w:val="es" w:eastAsia="es-ES"/>
        </w:rPr>
        <w:t xml:space="preserve">  Almacenamiento y manejo:</w:t>
      </w:r>
      <w:r w:rsidRPr="00617AE9">
        <w:rPr>
          <w:rFonts w:ascii="Verdana" w:hAnsi="Verdana" w:cs="Arial"/>
          <w:sz w:val="22"/>
          <w:szCs w:val="22"/>
          <w:lang w:val="es" w:eastAsia="es-ES"/>
        </w:rPr>
        <w:t xml:space="preserve"> Normas para almacenar de manera adecuada los productos químicos. Va dirigido a almacenistas y se complementa con las secciones de estabilidad, reactividad y con notas sobre incompatibilidad química.</w:t>
      </w:r>
    </w:p>
    <w:p w14:paraId="639AFD98" w14:textId="77777777" w:rsidR="00D94A8F" w:rsidRPr="00617AE9" w:rsidRDefault="00D94A8F" w:rsidP="00AE257D">
      <w:pPr>
        <w:spacing w:after="240" w:line="276" w:lineRule="auto"/>
        <w:ind w:right="-142"/>
        <w:jc w:val="both"/>
        <w:rPr>
          <w:rFonts w:ascii="Verdana" w:hAnsi="Verdana" w:cs="Arial"/>
          <w:sz w:val="22"/>
          <w:szCs w:val="22"/>
          <w:lang w:val="es" w:eastAsia="es-ES"/>
        </w:rPr>
      </w:pPr>
      <w:r w:rsidRPr="00617AE9">
        <w:rPr>
          <w:rFonts w:ascii="Verdana" w:hAnsi="Verdana" w:cs="Arial"/>
          <w:sz w:val="22"/>
          <w:szCs w:val="22"/>
          <w:lang w:val="es" w:eastAsia="es-ES"/>
        </w:rPr>
        <w:t xml:space="preserve">8.  </w:t>
      </w:r>
      <w:r w:rsidRPr="00617AE9">
        <w:rPr>
          <w:rFonts w:ascii="Verdana" w:hAnsi="Verdana" w:cs="Arial"/>
          <w:b/>
          <w:sz w:val="22"/>
          <w:szCs w:val="22"/>
          <w:lang w:val="es" w:eastAsia="es-ES"/>
        </w:rPr>
        <w:t>Elementos de protección personal:</w:t>
      </w:r>
      <w:r w:rsidRPr="00617AE9">
        <w:rPr>
          <w:rFonts w:ascii="Verdana" w:hAnsi="Verdana" w:cs="Arial"/>
          <w:sz w:val="22"/>
          <w:szCs w:val="22"/>
          <w:lang w:val="es" w:eastAsia="es-ES"/>
        </w:rPr>
        <w:t xml:space="preserve"> Se divide en dos sub-secciones.  La primera describe los controles de ingeniería que aplican para el producto como sistemas de extracción de aire viciado, cabinas de flujo laminar o de extracción, sistemas de inyección de aire limpio. Si el producto es relativamente inofensivo, se encuentra una frase que indica que no se requieren controles especiales. En la segunda sección, se suministra una guía de Elementos de Protección que incluye protección respiratoria, para la piel, los ojos y las manos.</w:t>
      </w:r>
    </w:p>
    <w:p w14:paraId="292607AB" w14:textId="77777777" w:rsidR="00D94A8F" w:rsidRPr="00617AE9" w:rsidRDefault="00D94A8F" w:rsidP="00AE257D">
      <w:pPr>
        <w:spacing w:after="240" w:line="276" w:lineRule="auto"/>
        <w:ind w:right="-142"/>
        <w:jc w:val="both"/>
        <w:rPr>
          <w:rFonts w:ascii="Verdana" w:hAnsi="Verdana" w:cs="Arial"/>
          <w:sz w:val="22"/>
          <w:szCs w:val="22"/>
          <w:lang w:val="es" w:eastAsia="es-ES"/>
        </w:rPr>
      </w:pPr>
      <w:r w:rsidRPr="00617AE9">
        <w:rPr>
          <w:rFonts w:ascii="Verdana" w:hAnsi="Verdana" w:cs="Arial"/>
          <w:sz w:val="22"/>
          <w:szCs w:val="22"/>
          <w:lang w:val="es" w:eastAsia="es-ES"/>
        </w:rPr>
        <w:t xml:space="preserve">9.  </w:t>
      </w:r>
      <w:r w:rsidRPr="00617AE9">
        <w:rPr>
          <w:rFonts w:ascii="Verdana" w:hAnsi="Verdana" w:cs="Arial"/>
          <w:b/>
          <w:sz w:val="22"/>
          <w:szCs w:val="22"/>
          <w:lang w:val="es" w:eastAsia="es-ES"/>
        </w:rPr>
        <w:t>Propiedades físicas y químicas:</w:t>
      </w:r>
      <w:r w:rsidRPr="00617AE9">
        <w:rPr>
          <w:rFonts w:ascii="Verdana" w:hAnsi="Verdana" w:cs="Arial"/>
          <w:sz w:val="22"/>
          <w:szCs w:val="22"/>
          <w:lang w:val="es" w:eastAsia="es-ES"/>
        </w:rPr>
        <w:t xml:space="preserve"> Identifica las propiedades físicas y químicas que caracterizan el producto. Incluye: apariencia, estado físico, olor, pH, punto de ebullición, punto de fusión, presión de vapor, solubilidad en agua, gravedad específica o en su defecto densidad. En algunos casos, especialmente si se trata de aceites, puede incluir la viscosidad.</w:t>
      </w:r>
    </w:p>
    <w:p w14:paraId="488CEA06" w14:textId="77777777" w:rsidR="00D94A8F" w:rsidRPr="00617AE9" w:rsidRDefault="00D94A8F" w:rsidP="00AE257D">
      <w:pPr>
        <w:spacing w:after="240"/>
        <w:jc w:val="both"/>
        <w:rPr>
          <w:rFonts w:ascii="Verdana" w:hAnsi="Verdana" w:cs="Arial"/>
          <w:sz w:val="22"/>
          <w:szCs w:val="22"/>
          <w:lang w:val="es" w:eastAsia="es-ES"/>
        </w:rPr>
      </w:pPr>
      <w:r w:rsidRPr="00617AE9">
        <w:rPr>
          <w:rFonts w:ascii="Verdana" w:hAnsi="Verdana" w:cs="Arial"/>
          <w:sz w:val="22"/>
          <w:szCs w:val="22"/>
          <w:lang w:val="es" w:eastAsia="es-ES"/>
        </w:rPr>
        <w:t xml:space="preserve">10.  </w:t>
      </w:r>
      <w:r w:rsidRPr="00617AE9">
        <w:rPr>
          <w:rFonts w:ascii="Verdana" w:hAnsi="Verdana" w:cs="Arial"/>
          <w:b/>
          <w:sz w:val="22"/>
          <w:szCs w:val="22"/>
          <w:lang w:val="es" w:eastAsia="es-ES"/>
        </w:rPr>
        <w:t>Estabilidad y reactividad:</w:t>
      </w:r>
      <w:r w:rsidRPr="00617AE9">
        <w:rPr>
          <w:rFonts w:ascii="Verdana" w:hAnsi="Verdana" w:cs="Arial"/>
          <w:sz w:val="22"/>
          <w:szCs w:val="22"/>
          <w:lang w:val="es" w:eastAsia="es-ES"/>
        </w:rPr>
        <w:t xml:space="preserve"> Contiene los siguientes elementos:</w:t>
      </w:r>
    </w:p>
    <w:p w14:paraId="0DBB9975" w14:textId="77777777" w:rsidR="00D94A8F" w:rsidRPr="00617AE9" w:rsidRDefault="00D94A8F" w:rsidP="00AE257D">
      <w:pPr>
        <w:numPr>
          <w:ilvl w:val="0"/>
          <w:numId w:val="25"/>
        </w:numPr>
        <w:suppressAutoHyphens/>
        <w:spacing w:after="240"/>
        <w:ind w:right="-142"/>
        <w:contextualSpacing/>
        <w:jc w:val="both"/>
        <w:rPr>
          <w:rFonts w:ascii="Verdana" w:hAnsi="Verdana" w:cs="Arial"/>
          <w:sz w:val="22"/>
          <w:szCs w:val="22"/>
          <w:lang w:val="es" w:eastAsia="es-ES"/>
        </w:rPr>
      </w:pPr>
      <w:r w:rsidRPr="00617AE9">
        <w:rPr>
          <w:rFonts w:ascii="Verdana" w:hAnsi="Verdana" w:cs="Arial"/>
          <w:sz w:val="22"/>
          <w:szCs w:val="22"/>
          <w:lang w:val="es" w:eastAsia="es-ES"/>
        </w:rPr>
        <w:t>Estabilidad química: indica si el producto es estable en condiciones normales de presión y temperatura o peligrosamente inestable.</w:t>
      </w:r>
    </w:p>
    <w:p w14:paraId="70FAE79B" w14:textId="77777777" w:rsidR="00D94A8F" w:rsidRPr="00617AE9" w:rsidRDefault="00D94A8F" w:rsidP="00AE257D">
      <w:pPr>
        <w:numPr>
          <w:ilvl w:val="0"/>
          <w:numId w:val="25"/>
        </w:numPr>
        <w:suppressAutoHyphens/>
        <w:spacing w:after="240"/>
        <w:ind w:right="-142"/>
        <w:contextualSpacing/>
        <w:jc w:val="both"/>
        <w:rPr>
          <w:rFonts w:ascii="Verdana" w:hAnsi="Verdana" w:cs="Arial"/>
          <w:sz w:val="22"/>
          <w:szCs w:val="22"/>
          <w:lang w:val="es" w:eastAsia="es-ES"/>
        </w:rPr>
      </w:pPr>
      <w:r w:rsidRPr="00617AE9">
        <w:rPr>
          <w:rFonts w:ascii="Verdana" w:hAnsi="Verdana" w:cs="Arial"/>
          <w:b/>
          <w:sz w:val="22"/>
          <w:szCs w:val="22"/>
          <w:lang w:val="es" w:eastAsia="es-ES"/>
        </w:rPr>
        <w:t>Condiciones a evitar:</w:t>
      </w:r>
      <w:r w:rsidRPr="00617AE9">
        <w:rPr>
          <w:rFonts w:ascii="Verdana" w:hAnsi="Verdana" w:cs="Arial"/>
          <w:sz w:val="22"/>
          <w:szCs w:val="22"/>
          <w:lang w:val="es" w:eastAsia="es-ES"/>
        </w:rPr>
        <w:t xml:space="preserve"> Por lo general son luz directa del sol, humedad e incompatibles.  Para el caso de los inflamables, incluye fuentes de Ignición.</w:t>
      </w:r>
    </w:p>
    <w:p w14:paraId="649417CC" w14:textId="77777777" w:rsidR="00D94A8F" w:rsidRPr="00617AE9" w:rsidRDefault="00D94A8F" w:rsidP="00AE257D">
      <w:pPr>
        <w:numPr>
          <w:ilvl w:val="0"/>
          <w:numId w:val="25"/>
        </w:numPr>
        <w:suppressAutoHyphens/>
        <w:spacing w:after="240"/>
        <w:ind w:right="-142"/>
        <w:contextualSpacing/>
        <w:jc w:val="both"/>
        <w:rPr>
          <w:rFonts w:ascii="Verdana" w:hAnsi="Verdana" w:cs="Arial"/>
          <w:sz w:val="22"/>
          <w:szCs w:val="22"/>
          <w:lang w:val="es" w:eastAsia="es-ES"/>
        </w:rPr>
      </w:pPr>
      <w:r w:rsidRPr="00617AE9">
        <w:rPr>
          <w:rFonts w:ascii="Verdana" w:hAnsi="Verdana" w:cs="Arial"/>
          <w:b/>
          <w:sz w:val="22"/>
          <w:szCs w:val="22"/>
          <w:lang w:val="es" w:eastAsia="es-ES"/>
        </w:rPr>
        <w:t>Incompatibles:</w:t>
      </w:r>
      <w:r w:rsidRPr="00617AE9">
        <w:rPr>
          <w:rFonts w:ascii="Verdana" w:hAnsi="Verdana" w:cs="Arial"/>
          <w:sz w:val="22"/>
          <w:szCs w:val="22"/>
          <w:lang w:val="es" w:eastAsia="es-ES"/>
        </w:rPr>
        <w:t xml:space="preserve"> Sustancias que si entran en contacto con el producto pueden generar una reacción de incompatibilidad que conduzca a la formación de productos peligrosos y generación de gases y humos tóxicos.</w:t>
      </w:r>
    </w:p>
    <w:p w14:paraId="2061DBEE" w14:textId="77777777" w:rsidR="00D94A8F" w:rsidRDefault="00D94A8F" w:rsidP="00AE257D">
      <w:pPr>
        <w:numPr>
          <w:ilvl w:val="0"/>
          <w:numId w:val="25"/>
        </w:numPr>
        <w:suppressAutoHyphens/>
        <w:spacing w:after="240"/>
        <w:ind w:right="-142"/>
        <w:contextualSpacing/>
        <w:jc w:val="both"/>
        <w:rPr>
          <w:rFonts w:ascii="Verdana" w:hAnsi="Verdana" w:cs="Arial"/>
          <w:sz w:val="22"/>
          <w:szCs w:val="22"/>
          <w:lang w:val="es" w:eastAsia="es-ES"/>
        </w:rPr>
      </w:pPr>
      <w:r w:rsidRPr="00617AE9">
        <w:rPr>
          <w:rFonts w:ascii="Verdana" w:hAnsi="Verdana" w:cs="Arial"/>
          <w:b/>
          <w:sz w:val="22"/>
          <w:szCs w:val="22"/>
          <w:lang w:val="es" w:eastAsia="es-ES"/>
        </w:rPr>
        <w:t>Productos   de   descomposición   peligrosos:</w:t>
      </w:r>
      <w:r w:rsidRPr="00617AE9">
        <w:rPr>
          <w:rFonts w:ascii="Verdana" w:hAnsi="Verdana" w:cs="Arial"/>
          <w:sz w:val="22"/>
          <w:szCs w:val="22"/>
          <w:lang w:val="es" w:eastAsia="es-ES"/>
        </w:rPr>
        <w:t xml:space="preserve">   sub-productos   tóxicos resultantes de la reacción de la sustancia en condiciones de calor por incendio o de temperatura extrema.</w:t>
      </w:r>
    </w:p>
    <w:p w14:paraId="3DCBFA0E" w14:textId="677FAAA2" w:rsidR="00D94A8F" w:rsidRPr="00AE257D" w:rsidRDefault="00D94A8F" w:rsidP="00AE257D">
      <w:pPr>
        <w:numPr>
          <w:ilvl w:val="0"/>
          <w:numId w:val="25"/>
        </w:numPr>
        <w:suppressAutoHyphens/>
        <w:spacing w:after="240"/>
        <w:ind w:right="-142"/>
        <w:contextualSpacing/>
        <w:jc w:val="both"/>
        <w:rPr>
          <w:rFonts w:ascii="Verdana" w:hAnsi="Verdana" w:cs="Arial"/>
          <w:sz w:val="22"/>
          <w:szCs w:val="22"/>
          <w:lang w:val="es" w:eastAsia="es-ES"/>
        </w:rPr>
      </w:pPr>
      <w:r w:rsidRPr="00AE257D">
        <w:rPr>
          <w:rFonts w:ascii="Verdana" w:hAnsi="Verdana" w:cs="Arial"/>
          <w:sz w:val="22"/>
          <w:szCs w:val="22"/>
          <w:lang w:val="es" w:eastAsia="es-ES"/>
        </w:rPr>
        <w:t>Polimerización peligrosa: Se describe si el producto puede polimerizarse</w:t>
      </w:r>
      <w:r w:rsidR="00AE257D">
        <w:rPr>
          <w:rFonts w:ascii="Verdana" w:hAnsi="Verdana" w:cs="Arial"/>
          <w:sz w:val="22"/>
          <w:szCs w:val="22"/>
          <w:lang w:val="es" w:eastAsia="es-ES"/>
        </w:rPr>
        <w:t xml:space="preserve"> </w:t>
      </w:r>
      <w:r w:rsidRPr="00AE257D">
        <w:rPr>
          <w:rFonts w:ascii="Verdana" w:hAnsi="Verdana" w:cs="Arial"/>
          <w:sz w:val="22"/>
          <w:szCs w:val="22"/>
          <w:lang w:val="es" w:eastAsia="es-ES"/>
        </w:rPr>
        <w:t>de manera peligrosa y bajo qué condiciones ocurriría.</w:t>
      </w:r>
    </w:p>
    <w:p w14:paraId="5544AF1F" w14:textId="77777777" w:rsidR="00D94A8F" w:rsidRPr="00617AE9" w:rsidRDefault="00D94A8F" w:rsidP="00AE257D">
      <w:pPr>
        <w:spacing w:after="240"/>
        <w:ind w:right="-142"/>
        <w:jc w:val="both"/>
        <w:rPr>
          <w:rFonts w:ascii="Verdana" w:hAnsi="Verdana" w:cs="Arial"/>
          <w:sz w:val="22"/>
          <w:szCs w:val="22"/>
          <w:lang w:val="es" w:eastAsia="es-ES"/>
        </w:rPr>
      </w:pPr>
    </w:p>
    <w:p w14:paraId="46FF0F67" w14:textId="77777777" w:rsidR="00D94A8F" w:rsidRPr="00617AE9" w:rsidRDefault="00D94A8F" w:rsidP="00AE257D">
      <w:pPr>
        <w:spacing w:after="240"/>
        <w:ind w:right="-142"/>
        <w:jc w:val="both"/>
        <w:rPr>
          <w:rFonts w:ascii="Verdana" w:hAnsi="Verdana" w:cs="Arial"/>
          <w:sz w:val="22"/>
          <w:szCs w:val="22"/>
          <w:lang w:val="es" w:eastAsia="es-ES"/>
        </w:rPr>
      </w:pPr>
      <w:r w:rsidRPr="00617AE9">
        <w:rPr>
          <w:rFonts w:ascii="Verdana" w:hAnsi="Verdana" w:cs="Arial"/>
          <w:sz w:val="22"/>
          <w:szCs w:val="22"/>
          <w:lang w:val="es" w:eastAsia="es-ES"/>
        </w:rPr>
        <w:t xml:space="preserve">11.  </w:t>
      </w:r>
      <w:r w:rsidRPr="00617AE9">
        <w:rPr>
          <w:rFonts w:ascii="Verdana" w:hAnsi="Verdana" w:cs="Arial"/>
          <w:b/>
          <w:sz w:val="22"/>
          <w:szCs w:val="22"/>
          <w:lang w:val="es" w:eastAsia="es-ES"/>
        </w:rPr>
        <w:t>Información toxicológica:</w:t>
      </w:r>
      <w:r w:rsidRPr="00617AE9">
        <w:rPr>
          <w:rFonts w:ascii="Verdana" w:hAnsi="Verdana" w:cs="Arial"/>
          <w:sz w:val="22"/>
          <w:szCs w:val="22"/>
          <w:lang w:val="es" w:eastAsia="es-ES"/>
        </w:rPr>
        <w:t xml:space="preserve"> Esta sección proporciona información acerca de las pruebas de toxicidad del material, sus componentes o ambos.  Se dirige a personal médico, toxicólogos y profesionales de la salud ocupacional. Incluye:</w:t>
      </w:r>
    </w:p>
    <w:p w14:paraId="65F61139" w14:textId="77777777" w:rsidR="00D94A8F" w:rsidRPr="00617AE9" w:rsidRDefault="00D94A8F" w:rsidP="00AE257D">
      <w:pPr>
        <w:numPr>
          <w:ilvl w:val="0"/>
          <w:numId w:val="25"/>
        </w:numPr>
        <w:suppressAutoHyphens/>
        <w:spacing w:after="240"/>
        <w:ind w:right="-142"/>
        <w:contextualSpacing/>
        <w:jc w:val="both"/>
        <w:rPr>
          <w:rFonts w:ascii="Verdana" w:hAnsi="Verdana" w:cs="Arial"/>
          <w:sz w:val="22"/>
          <w:szCs w:val="22"/>
          <w:lang w:val="es" w:eastAsia="es-ES"/>
        </w:rPr>
      </w:pPr>
      <w:r w:rsidRPr="00617AE9">
        <w:rPr>
          <w:rFonts w:ascii="Verdana" w:hAnsi="Verdana" w:cs="Arial"/>
          <w:sz w:val="22"/>
          <w:szCs w:val="22"/>
          <w:lang w:val="es" w:eastAsia="es-ES"/>
        </w:rPr>
        <w:t>Datos de toxicidad aguda.</w:t>
      </w:r>
    </w:p>
    <w:p w14:paraId="2BFF9ECF" w14:textId="77777777" w:rsidR="00D94A8F" w:rsidRPr="00617AE9" w:rsidRDefault="00D94A8F" w:rsidP="00AE257D">
      <w:pPr>
        <w:numPr>
          <w:ilvl w:val="0"/>
          <w:numId w:val="25"/>
        </w:numPr>
        <w:suppressAutoHyphens/>
        <w:spacing w:after="240"/>
        <w:ind w:right="-142"/>
        <w:contextualSpacing/>
        <w:jc w:val="both"/>
        <w:rPr>
          <w:rFonts w:ascii="Verdana" w:hAnsi="Verdana" w:cs="Arial"/>
          <w:sz w:val="22"/>
          <w:szCs w:val="22"/>
          <w:lang w:val="es" w:eastAsia="es-ES"/>
        </w:rPr>
      </w:pPr>
      <w:r w:rsidRPr="00617AE9">
        <w:rPr>
          <w:rFonts w:ascii="Verdana" w:hAnsi="Verdana" w:cs="Arial"/>
          <w:sz w:val="22"/>
          <w:szCs w:val="22"/>
          <w:lang w:val="es" w:eastAsia="es-ES"/>
        </w:rPr>
        <w:t>Toxicidad subclínica.</w:t>
      </w:r>
    </w:p>
    <w:p w14:paraId="087C42A5" w14:textId="77777777" w:rsidR="00D94A8F" w:rsidRPr="00617AE9" w:rsidRDefault="00D94A8F" w:rsidP="00AE257D">
      <w:pPr>
        <w:numPr>
          <w:ilvl w:val="0"/>
          <w:numId w:val="25"/>
        </w:numPr>
        <w:suppressAutoHyphens/>
        <w:spacing w:after="240"/>
        <w:ind w:right="-142"/>
        <w:contextualSpacing/>
        <w:jc w:val="both"/>
        <w:rPr>
          <w:rFonts w:ascii="Verdana" w:hAnsi="Verdana" w:cs="Arial"/>
          <w:sz w:val="22"/>
          <w:szCs w:val="22"/>
          <w:lang w:val="es" w:eastAsia="es-ES"/>
        </w:rPr>
      </w:pPr>
      <w:r w:rsidRPr="00617AE9">
        <w:rPr>
          <w:rFonts w:ascii="Verdana" w:hAnsi="Verdana" w:cs="Arial"/>
          <w:sz w:val="22"/>
          <w:szCs w:val="22"/>
          <w:lang w:val="es" w:eastAsia="es-ES"/>
        </w:rPr>
        <w:t>Estudios especiales en áreas de la epidemiología, carcinogénesis, teratogenecidad, efectos reproductivos, neurotoxicidad, mutagenecidad y otros estudios que se consideren relevantes.</w:t>
      </w:r>
    </w:p>
    <w:p w14:paraId="22156672" w14:textId="77777777" w:rsidR="00D94A8F" w:rsidRPr="00617AE9" w:rsidRDefault="00D94A8F" w:rsidP="00AE257D">
      <w:pPr>
        <w:spacing w:after="240"/>
        <w:ind w:right="-142"/>
        <w:jc w:val="both"/>
        <w:rPr>
          <w:rFonts w:ascii="Verdana" w:hAnsi="Verdana" w:cs="Arial"/>
          <w:sz w:val="22"/>
          <w:szCs w:val="22"/>
          <w:lang w:val="es" w:eastAsia="es-ES"/>
        </w:rPr>
      </w:pPr>
    </w:p>
    <w:p w14:paraId="2A07E73A" w14:textId="77777777" w:rsidR="00D94A8F" w:rsidRPr="00617AE9" w:rsidRDefault="00D94A8F" w:rsidP="00AE257D">
      <w:pPr>
        <w:spacing w:after="240"/>
        <w:ind w:right="-142"/>
        <w:jc w:val="both"/>
        <w:rPr>
          <w:rFonts w:ascii="Verdana" w:hAnsi="Verdana" w:cs="Arial"/>
          <w:sz w:val="22"/>
          <w:szCs w:val="22"/>
          <w:lang w:val="es" w:eastAsia="es-ES"/>
        </w:rPr>
      </w:pPr>
      <w:r w:rsidRPr="00617AE9">
        <w:rPr>
          <w:rFonts w:ascii="Verdana" w:hAnsi="Verdana" w:cs="Arial"/>
          <w:sz w:val="22"/>
          <w:szCs w:val="22"/>
          <w:lang w:val="es" w:eastAsia="es-ES"/>
        </w:rPr>
        <w:t>12.</w:t>
      </w:r>
      <w:r w:rsidRPr="00617AE9">
        <w:rPr>
          <w:rFonts w:ascii="Verdana" w:hAnsi="Verdana" w:cs="Arial"/>
          <w:b/>
          <w:sz w:val="22"/>
          <w:szCs w:val="22"/>
          <w:lang w:val="es" w:eastAsia="es-ES"/>
        </w:rPr>
        <w:t xml:space="preserve">  Información ecológica:</w:t>
      </w:r>
      <w:r w:rsidRPr="00617AE9">
        <w:rPr>
          <w:rFonts w:ascii="Verdana" w:hAnsi="Verdana" w:cs="Arial"/>
          <w:sz w:val="22"/>
          <w:szCs w:val="22"/>
          <w:lang w:val="es" w:eastAsia="es-ES"/>
        </w:rPr>
        <w:t xml:space="preserve"> Describe el impacto ambiental si el producto es liberado al aire, vertido en fuentes de agua o esparcido en el suelo. Incluye datos de eco toxicidad y efectos ambientales específicos del producto.</w:t>
      </w:r>
    </w:p>
    <w:p w14:paraId="0C3E5E4F" w14:textId="77777777" w:rsidR="00D94A8F" w:rsidRPr="00617AE9" w:rsidRDefault="00D94A8F" w:rsidP="00AE257D">
      <w:pPr>
        <w:spacing w:after="240"/>
        <w:ind w:right="-142"/>
        <w:jc w:val="both"/>
        <w:rPr>
          <w:rFonts w:ascii="Verdana" w:hAnsi="Verdana" w:cs="Arial"/>
          <w:sz w:val="22"/>
          <w:szCs w:val="22"/>
          <w:lang w:val="es" w:eastAsia="es-ES"/>
        </w:rPr>
      </w:pPr>
    </w:p>
    <w:p w14:paraId="4FB4C60E" w14:textId="77777777" w:rsidR="00D94A8F" w:rsidRPr="00617AE9" w:rsidRDefault="00D94A8F" w:rsidP="00AE257D">
      <w:pPr>
        <w:spacing w:after="240"/>
        <w:ind w:right="-142"/>
        <w:jc w:val="both"/>
        <w:rPr>
          <w:rFonts w:ascii="Verdana" w:hAnsi="Verdana" w:cs="Arial"/>
          <w:sz w:val="22"/>
          <w:szCs w:val="22"/>
          <w:lang w:val="es" w:eastAsia="es-ES"/>
        </w:rPr>
      </w:pPr>
      <w:r w:rsidRPr="00617AE9">
        <w:rPr>
          <w:rFonts w:ascii="Verdana" w:hAnsi="Verdana" w:cs="Arial"/>
          <w:sz w:val="22"/>
          <w:szCs w:val="22"/>
          <w:lang w:val="es" w:eastAsia="es-ES"/>
        </w:rPr>
        <w:lastRenderedPageBreak/>
        <w:t xml:space="preserve">13.  </w:t>
      </w:r>
      <w:r w:rsidRPr="00617AE9">
        <w:rPr>
          <w:rFonts w:ascii="Verdana" w:hAnsi="Verdana" w:cs="Arial"/>
          <w:b/>
          <w:sz w:val="22"/>
          <w:szCs w:val="22"/>
          <w:lang w:val="es" w:eastAsia="es-ES"/>
        </w:rPr>
        <w:t>Consideraciones de disposición:</w:t>
      </w:r>
      <w:r w:rsidRPr="00617AE9">
        <w:rPr>
          <w:rFonts w:ascii="Verdana" w:hAnsi="Verdana" w:cs="Arial"/>
          <w:sz w:val="22"/>
          <w:szCs w:val="22"/>
          <w:lang w:val="es" w:eastAsia="es-ES"/>
        </w:rPr>
        <w:t xml:space="preserve"> En esta sección se dan instrucciones breves respecto a qué hacer con los residuos peligrosos generados al manipular los productos químicos. Se consideran residuos relacionados con los productos químicos a sus envases vacíos, saldos de producto no usado, producto vencido y material absorbido después de un derrame. Debe contener una advertencia respecto a que la normatividad local, que puede variar de un país a otro.</w:t>
      </w:r>
    </w:p>
    <w:p w14:paraId="6BA7E147" w14:textId="77777777" w:rsidR="00D94A8F" w:rsidRPr="00617AE9" w:rsidRDefault="00D94A8F" w:rsidP="00AE257D">
      <w:pPr>
        <w:spacing w:after="240"/>
        <w:ind w:right="-142"/>
        <w:jc w:val="both"/>
        <w:rPr>
          <w:rFonts w:ascii="Verdana" w:hAnsi="Verdana" w:cs="Arial"/>
          <w:sz w:val="22"/>
          <w:szCs w:val="22"/>
          <w:lang w:val="es" w:eastAsia="es-ES"/>
        </w:rPr>
      </w:pPr>
      <w:r w:rsidRPr="00617AE9">
        <w:rPr>
          <w:rFonts w:ascii="Verdana" w:hAnsi="Verdana" w:cs="Arial"/>
          <w:sz w:val="22"/>
          <w:szCs w:val="22"/>
          <w:lang w:val="es" w:eastAsia="es-ES"/>
        </w:rPr>
        <w:t xml:space="preserve">14.  </w:t>
      </w:r>
      <w:r w:rsidRPr="00617AE9">
        <w:rPr>
          <w:rFonts w:ascii="Verdana" w:hAnsi="Verdana" w:cs="Arial"/>
          <w:b/>
          <w:sz w:val="22"/>
          <w:szCs w:val="22"/>
          <w:lang w:val="es" w:eastAsia="es-ES"/>
        </w:rPr>
        <w:t>Información sobre transporte:</w:t>
      </w:r>
      <w:r w:rsidRPr="00617AE9">
        <w:rPr>
          <w:rFonts w:ascii="Verdana" w:hAnsi="Verdana" w:cs="Arial"/>
          <w:sz w:val="22"/>
          <w:szCs w:val="22"/>
          <w:lang w:val="es" w:eastAsia="es-ES"/>
        </w:rPr>
        <w:t xml:space="preserve"> Brinda información básica sobre clasificación de embarque. Incluye:</w:t>
      </w:r>
    </w:p>
    <w:p w14:paraId="494FE62F" w14:textId="77777777" w:rsidR="00D94A8F" w:rsidRPr="00617AE9" w:rsidRDefault="00D94A8F" w:rsidP="00AE257D">
      <w:pPr>
        <w:numPr>
          <w:ilvl w:val="0"/>
          <w:numId w:val="26"/>
        </w:numPr>
        <w:suppressAutoHyphens/>
        <w:spacing w:after="240"/>
        <w:ind w:right="-142"/>
        <w:contextualSpacing/>
        <w:jc w:val="both"/>
        <w:rPr>
          <w:rFonts w:ascii="Verdana" w:hAnsi="Verdana" w:cs="Arial"/>
          <w:sz w:val="22"/>
          <w:szCs w:val="22"/>
          <w:lang w:val="es" w:eastAsia="es-ES"/>
        </w:rPr>
      </w:pPr>
      <w:r w:rsidRPr="00617AE9">
        <w:rPr>
          <w:rFonts w:ascii="Verdana" w:hAnsi="Verdana" w:cs="Arial"/>
          <w:sz w:val="22"/>
          <w:szCs w:val="22"/>
          <w:lang w:val="es" w:eastAsia="es-ES"/>
        </w:rPr>
        <w:t>Nombre de envío</w:t>
      </w:r>
    </w:p>
    <w:p w14:paraId="193E6B59" w14:textId="77777777" w:rsidR="00D94A8F" w:rsidRPr="00617AE9" w:rsidRDefault="00D94A8F" w:rsidP="00AE257D">
      <w:pPr>
        <w:numPr>
          <w:ilvl w:val="0"/>
          <w:numId w:val="26"/>
        </w:numPr>
        <w:suppressAutoHyphens/>
        <w:spacing w:after="240"/>
        <w:ind w:right="-142"/>
        <w:contextualSpacing/>
        <w:jc w:val="both"/>
        <w:rPr>
          <w:rFonts w:ascii="Verdana" w:hAnsi="Verdana" w:cs="Arial"/>
          <w:sz w:val="22"/>
          <w:szCs w:val="22"/>
          <w:lang w:val="es" w:eastAsia="es-ES"/>
        </w:rPr>
      </w:pPr>
      <w:r w:rsidRPr="00617AE9">
        <w:rPr>
          <w:rFonts w:ascii="Verdana" w:hAnsi="Verdana" w:cs="Arial"/>
          <w:sz w:val="22"/>
          <w:szCs w:val="22"/>
          <w:lang w:val="es" w:eastAsia="es-ES"/>
        </w:rPr>
        <w:t>Clase de riesgo</w:t>
      </w:r>
    </w:p>
    <w:p w14:paraId="0AA8F9BF" w14:textId="77777777" w:rsidR="00D94A8F" w:rsidRPr="00617AE9" w:rsidRDefault="00D94A8F" w:rsidP="00AE257D">
      <w:pPr>
        <w:numPr>
          <w:ilvl w:val="0"/>
          <w:numId w:val="26"/>
        </w:numPr>
        <w:suppressAutoHyphens/>
        <w:spacing w:after="240"/>
        <w:ind w:right="-142"/>
        <w:contextualSpacing/>
        <w:jc w:val="both"/>
        <w:rPr>
          <w:rFonts w:ascii="Verdana" w:hAnsi="Verdana" w:cs="Arial"/>
          <w:sz w:val="22"/>
          <w:szCs w:val="22"/>
          <w:lang w:val="es" w:eastAsia="es-ES"/>
        </w:rPr>
      </w:pPr>
      <w:r w:rsidRPr="00617AE9">
        <w:rPr>
          <w:rFonts w:ascii="Verdana" w:hAnsi="Verdana" w:cs="Arial"/>
          <w:sz w:val="22"/>
          <w:szCs w:val="22"/>
          <w:lang w:val="es" w:eastAsia="es-ES"/>
        </w:rPr>
        <w:t>Número de las Naciones Unidas</w:t>
      </w:r>
    </w:p>
    <w:p w14:paraId="0F81C1A6" w14:textId="77777777" w:rsidR="00D94A8F" w:rsidRPr="00617AE9" w:rsidRDefault="00D94A8F" w:rsidP="00AE257D">
      <w:pPr>
        <w:numPr>
          <w:ilvl w:val="0"/>
          <w:numId w:val="26"/>
        </w:numPr>
        <w:suppressAutoHyphens/>
        <w:spacing w:after="240"/>
        <w:ind w:right="-142"/>
        <w:contextualSpacing/>
        <w:jc w:val="both"/>
        <w:rPr>
          <w:rFonts w:ascii="Verdana" w:hAnsi="Verdana" w:cs="Arial"/>
          <w:sz w:val="22"/>
          <w:szCs w:val="22"/>
          <w:lang w:val="es" w:eastAsia="es-ES"/>
        </w:rPr>
      </w:pPr>
      <w:r w:rsidRPr="00617AE9">
        <w:rPr>
          <w:rFonts w:ascii="Verdana" w:hAnsi="Verdana" w:cs="Arial"/>
          <w:sz w:val="22"/>
          <w:szCs w:val="22"/>
          <w:lang w:val="es" w:eastAsia="es-ES"/>
        </w:rPr>
        <w:t>Normatividad pertinente según IMO (Norma para el sector de productos orgánicos).</w:t>
      </w:r>
    </w:p>
    <w:p w14:paraId="7FEEA5B0" w14:textId="77777777" w:rsidR="00D94A8F" w:rsidRPr="00617AE9" w:rsidRDefault="00D94A8F" w:rsidP="00AE257D">
      <w:pPr>
        <w:numPr>
          <w:ilvl w:val="0"/>
          <w:numId w:val="26"/>
        </w:numPr>
        <w:suppressAutoHyphens/>
        <w:spacing w:after="240"/>
        <w:ind w:right="-142"/>
        <w:contextualSpacing/>
        <w:jc w:val="both"/>
        <w:rPr>
          <w:rFonts w:ascii="Verdana" w:hAnsi="Verdana" w:cs="Arial"/>
          <w:sz w:val="22"/>
          <w:szCs w:val="22"/>
          <w:lang w:val="es" w:eastAsia="es-ES"/>
        </w:rPr>
      </w:pPr>
      <w:r w:rsidRPr="00617AE9">
        <w:rPr>
          <w:rFonts w:ascii="Verdana" w:hAnsi="Verdana" w:cs="Arial"/>
          <w:sz w:val="22"/>
          <w:szCs w:val="22"/>
          <w:lang w:val="es" w:eastAsia="es-ES"/>
        </w:rPr>
        <w:t>Normatividad pertinente según ICAO e IATA (Normas para transporte</w:t>
      </w:r>
    </w:p>
    <w:p w14:paraId="01574D79" w14:textId="77777777" w:rsidR="00D94A8F" w:rsidRPr="00617AE9" w:rsidRDefault="00D94A8F" w:rsidP="00AE257D">
      <w:pPr>
        <w:numPr>
          <w:ilvl w:val="0"/>
          <w:numId w:val="26"/>
        </w:numPr>
        <w:suppressAutoHyphens/>
        <w:spacing w:after="240"/>
        <w:ind w:right="-142"/>
        <w:contextualSpacing/>
        <w:jc w:val="both"/>
        <w:rPr>
          <w:rFonts w:ascii="Verdana" w:hAnsi="Verdana" w:cs="Arial"/>
          <w:sz w:val="22"/>
          <w:szCs w:val="22"/>
          <w:lang w:val="es" w:eastAsia="es-ES"/>
        </w:rPr>
      </w:pPr>
      <w:r w:rsidRPr="00617AE9">
        <w:rPr>
          <w:rFonts w:ascii="Verdana" w:hAnsi="Verdana" w:cs="Arial"/>
          <w:sz w:val="22"/>
          <w:szCs w:val="22"/>
          <w:lang w:val="es" w:eastAsia="es-ES"/>
        </w:rPr>
        <w:t>aéreo internacional).</w:t>
      </w:r>
    </w:p>
    <w:p w14:paraId="0D43CA3D" w14:textId="77777777" w:rsidR="00D94A8F" w:rsidRPr="00617AE9" w:rsidRDefault="00D94A8F" w:rsidP="00AE257D">
      <w:pPr>
        <w:numPr>
          <w:ilvl w:val="0"/>
          <w:numId w:val="26"/>
        </w:numPr>
        <w:suppressAutoHyphens/>
        <w:spacing w:after="240"/>
        <w:ind w:right="-142"/>
        <w:contextualSpacing/>
        <w:jc w:val="both"/>
        <w:rPr>
          <w:rFonts w:ascii="Verdana" w:hAnsi="Verdana" w:cs="Arial"/>
          <w:sz w:val="22"/>
          <w:szCs w:val="22"/>
          <w:lang w:val="es" w:eastAsia="es-ES"/>
        </w:rPr>
      </w:pPr>
      <w:r w:rsidRPr="00617AE9">
        <w:rPr>
          <w:rFonts w:ascii="Verdana" w:hAnsi="Verdana" w:cs="Arial"/>
          <w:sz w:val="22"/>
          <w:szCs w:val="22"/>
          <w:lang w:val="es" w:eastAsia="es-ES"/>
        </w:rPr>
        <w:t>Normatividad pertinente según ADR (Norma Europea para transporte de mercancías peligrosas por carretera).</w:t>
      </w:r>
    </w:p>
    <w:p w14:paraId="7CB2513C" w14:textId="77777777" w:rsidR="00D94A8F" w:rsidRPr="00617AE9" w:rsidRDefault="00D94A8F" w:rsidP="00AE257D">
      <w:pPr>
        <w:numPr>
          <w:ilvl w:val="0"/>
          <w:numId w:val="26"/>
        </w:numPr>
        <w:suppressAutoHyphens/>
        <w:spacing w:after="240"/>
        <w:ind w:right="-142"/>
        <w:contextualSpacing/>
        <w:jc w:val="both"/>
        <w:rPr>
          <w:rFonts w:ascii="Verdana" w:hAnsi="Verdana" w:cs="Arial"/>
          <w:sz w:val="22"/>
          <w:szCs w:val="22"/>
          <w:lang w:val="es" w:eastAsia="es-ES"/>
        </w:rPr>
      </w:pPr>
      <w:r w:rsidRPr="00617AE9">
        <w:rPr>
          <w:rFonts w:ascii="Verdana" w:hAnsi="Verdana" w:cs="Arial"/>
          <w:sz w:val="22"/>
          <w:szCs w:val="22"/>
          <w:lang w:val="es" w:eastAsia="es-ES"/>
        </w:rPr>
        <w:t>Normatividad pertinente según RID (Transporte internacional por ferrocarril).</w:t>
      </w:r>
    </w:p>
    <w:p w14:paraId="5FE376A6" w14:textId="77777777" w:rsidR="00D94A8F" w:rsidRPr="00617AE9" w:rsidRDefault="00D94A8F" w:rsidP="00AE257D">
      <w:pPr>
        <w:spacing w:after="240"/>
        <w:ind w:right="-142"/>
        <w:jc w:val="both"/>
        <w:rPr>
          <w:rFonts w:ascii="Verdana" w:hAnsi="Verdana" w:cs="Arial"/>
          <w:sz w:val="22"/>
          <w:szCs w:val="22"/>
          <w:lang w:val="es" w:eastAsia="es-ES"/>
        </w:rPr>
      </w:pPr>
    </w:p>
    <w:p w14:paraId="344BACAD" w14:textId="77777777" w:rsidR="00D94A8F" w:rsidRPr="00617AE9" w:rsidRDefault="00D94A8F" w:rsidP="00AE257D">
      <w:pPr>
        <w:spacing w:after="240"/>
        <w:ind w:right="-142"/>
        <w:jc w:val="both"/>
        <w:rPr>
          <w:rFonts w:ascii="Verdana" w:hAnsi="Verdana" w:cs="Arial"/>
          <w:sz w:val="22"/>
          <w:szCs w:val="22"/>
          <w:lang w:val="es" w:eastAsia="es-ES"/>
        </w:rPr>
      </w:pPr>
      <w:r w:rsidRPr="00617AE9">
        <w:rPr>
          <w:rFonts w:ascii="Verdana" w:hAnsi="Verdana" w:cs="Arial"/>
          <w:sz w:val="22"/>
          <w:szCs w:val="22"/>
          <w:lang w:val="es" w:eastAsia="es-ES"/>
        </w:rPr>
        <w:t xml:space="preserve">15.  </w:t>
      </w:r>
      <w:r w:rsidRPr="00617AE9">
        <w:rPr>
          <w:rFonts w:ascii="Verdana" w:hAnsi="Verdana" w:cs="Arial"/>
          <w:b/>
          <w:sz w:val="22"/>
          <w:szCs w:val="22"/>
          <w:lang w:val="es" w:eastAsia="es-ES"/>
        </w:rPr>
        <w:t>Información reglamentaria:</w:t>
      </w:r>
      <w:r w:rsidRPr="00617AE9">
        <w:rPr>
          <w:rFonts w:ascii="Verdana" w:hAnsi="Verdana" w:cs="Arial"/>
          <w:sz w:val="22"/>
          <w:szCs w:val="22"/>
          <w:lang w:val="es" w:eastAsia="es-ES"/>
        </w:rPr>
        <w:t xml:space="preserve">   Incluye la reglamentación internacional y nacional que aplique al producto.</w:t>
      </w:r>
    </w:p>
    <w:p w14:paraId="787AA8F7" w14:textId="77777777" w:rsidR="00D94A8F" w:rsidRPr="00617AE9" w:rsidRDefault="00D94A8F" w:rsidP="00AE257D">
      <w:pPr>
        <w:spacing w:after="240"/>
        <w:ind w:right="-142"/>
        <w:jc w:val="both"/>
        <w:rPr>
          <w:rFonts w:ascii="Verdana" w:hAnsi="Verdana" w:cs="Arial"/>
          <w:sz w:val="22"/>
          <w:szCs w:val="22"/>
          <w:lang w:val="es" w:eastAsia="es-ES"/>
        </w:rPr>
      </w:pPr>
      <w:r w:rsidRPr="00617AE9">
        <w:rPr>
          <w:rFonts w:ascii="Verdana" w:hAnsi="Verdana" w:cs="Arial"/>
          <w:sz w:val="22"/>
          <w:szCs w:val="22"/>
          <w:lang w:val="es" w:eastAsia="es-ES"/>
        </w:rPr>
        <w:t>16.</w:t>
      </w:r>
      <w:r w:rsidRPr="00617AE9">
        <w:rPr>
          <w:rFonts w:ascii="Verdana" w:hAnsi="Verdana" w:cs="Arial"/>
          <w:b/>
          <w:sz w:val="22"/>
          <w:szCs w:val="22"/>
          <w:lang w:val="es" w:eastAsia="es-ES"/>
        </w:rPr>
        <w:t xml:space="preserve"> Información adicional:</w:t>
      </w:r>
      <w:r w:rsidRPr="00617AE9">
        <w:rPr>
          <w:rFonts w:ascii="Verdana" w:hAnsi="Verdana" w:cs="Arial"/>
          <w:sz w:val="22"/>
          <w:szCs w:val="22"/>
          <w:lang w:val="es" w:eastAsia="es-ES"/>
        </w:rPr>
        <w:t xml:space="preserve"> Esta sección proporciona un espacio para cualquier información adicional concerniente al material, que se considere útil al usuario. Puede aparecer el contenido de la etiqueta HMIS en esta sección.</w:t>
      </w:r>
    </w:p>
    <w:p w14:paraId="6388EB28" w14:textId="77777777" w:rsidR="00D94A8F" w:rsidRPr="00617AE9" w:rsidRDefault="00D94A8F" w:rsidP="00AE257D">
      <w:pPr>
        <w:spacing w:after="240"/>
        <w:ind w:right="-142"/>
        <w:jc w:val="both"/>
        <w:rPr>
          <w:rFonts w:ascii="Verdana" w:hAnsi="Verdana" w:cs="Arial"/>
          <w:sz w:val="22"/>
          <w:szCs w:val="22"/>
          <w:lang w:val="es" w:eastAsia="es-ES"/>
        </w:rPr>
      </w:pPr>
      <w:r w:rsidRPr="00617AE9">
        <w:rPr>
          <w:rFonts w:ascii="Verdana" w:hAnsi="Verdana" w:cs="Arial"/>
          <w:b/>
          <w:sz w:val="22"/>
          <w:szCs w:val="22"/>
          <w:lang w:val="es" w:eastAsia="es-ES"/>
        </w:rPr>
        <w:t xml:space="preserve">Nota: </w:t>
      </w:r>
      <w:r w:rsidRPr="00617AE9">
        <w:rPr>
          <w:rFonts w:ascii="Verdana" w:hAnsi="Verdana" w:cs="Arial"/>
          <w:sz w:val="22"/>
          <w:szCs w:val="22"/>
          <w:lang w:val="es" w:eastAsia="es-ES"/>
        </w:rPr>
        <w:t>Las hojas de seguridad de las sustancias clasificadas como no peligrosas, no necesariamente</w:t>
      </w:r>
      <w:bookmarkStart w:id="5" w:name="_GoBack"/>
      <w:bookmarkEnd w:id="5"/>
      <w:r w:rsidRPr="00617AE9">
        <w:rPr>
          <w:rFonts w:ascii="Verdana" w:hAnsi="Verdana" w:cs="Arial"/>
          <w:sz w:val="22"/>
          <w:szCs w:val="22"/>
          <w:lang w:val="es" w:eastAsia="es-ES"/>
        </w:rPr>
        <w:t xml:space="preserve"> tienen que tener las 16 secciones descritas anteriormente, pero sí deben contener la información básica de seguridad donde se pueda verificar la identificación de peligros de la sustancia, las precauciones de seguridad que se debe tener con la misma y la atención médica que debe suministrarse en caso de contacto, inhalación o ingestión.</w:t>
      </w:r>
    </w:p>
    <w:p w14:paraId="52CE71F6" w14:textId="77777777" w:rsidR="00D94A8F" w:rsidRPr="00617AE9" w:rsidRDefault="00D94A8F" w:rsidP="00AE257D">
      <w:pPr>
        <w:numPr>
          <w:ilvl w:val="0"/>
          <w:numId w:val="28"/>
        </w:numPr>
        <w:suppressAutoHyphens/>
        <w:spacing w:after="240"/>
        <w:ind w:right="-142"/>
        <w:jc w:val="both"/>
        <w:rPr>
          <w:rFonts w:ascii="Verdana" w:hAnsi="Verdana" w:cs="Arial"/>
          <w:sz w:val="22"/>
          <w:szCs w:val="22"/>
          <w:lang w:val="es" w:eastAsia="es-ES"/>
        </w:rPr>
      </w:pPr>
      <w:r w:rsidRPr="00617AE9">
        <w:rPr>
          <w:rFonts w:ascii="Verdana" w:hAnsi="Verdana" w:cs="Arial"/>
          <w:b/>
          <w:sz w:val="22"/>
          <w:szCs w:val="22"/>
          <w:lang w:val="es" w:eastAsia="es-ES"/>
        </w:rPr>
        <w:t>Tarjeta de Emergencia:</w:t>
      </w:r>
      <w:r w:rsidRPr="00617AE9">
        <w:rPr>
          <w:rFonts w:ascii="Verdana" w:hAnsi="Verdana" w:cs="Arial"/>
          <w:sz w:val="22"/>
          <w:szCs w:val="22"/>
          <w:lang w:val="es" w:eastAsia="es-ES"/>
        </w:rPr>
        <w:t xml:space="preserve"> Documento que contiene información básica sobre la identificación del producto químico y datos del fabricante, identificación de peligros, protección personal, control de exposición, medidas de primeros auxilios, medidas para extinción de incendios, medidas para vertido accidental, estabilidad, reactividad e información sobre el transporte, que se elabora de acuerdo con lo estipulado en la Norma Técnica Colombiana NTC 4532, Anexo N° 3.</w:t>
      </w:r>
    </w:p>
    <w:p w14:paraId="1A814F0A" w14:textId="77777777" w:rsidR="00D94A8F" w:rsidRPr="00617AE9" w:rsidRDefault="00D94A8F" w:rsidP="00AE257D">
      <w:pPr>
        <w:numPr>
          <w:ilvl w:val="0"/>
          <w:numId w:val="28"/>
        </w:numPr>
        <w:suppressAutoHyphens/>
        <w:spacing w:after="240"/>
        <w:ind w:right="-142"/>
        <w:jc w:val="both"/>
        <w:rPr>
          <w:rFonts w:ascii="Verdana" w:hAnsi="Verdana" w:cs="Arial"/>
          <w:sz w:val="22"/>
          <w:szCs w:val="22"/>
          <w:lang w:val="es" w:eastAsia="es-ES"/>
        </w:rPr>
      </w:pPr>
      <w:r w:rsidRPr="00617AE9">
        <w:rPr>
          <w:rFonts w:ascii="Verdana" w:hAnsi="Verdana" w:cs="Arial"/>
          <w:b/>
          <w:sz w:val="22"/>
          <w:szCs w:val="22"/>
          <w:lang w:val="es" w:eastAsia="es-ES"/>
        </w:rPr>
        <w:t>Contenido de la Tarjeta de Emergencia:</w:t>
      </w:r>
      <w:r w:rsidRPr="00617AE9">
        <w:rPr>
          <w:rFonts w:ascii="Verdana" w:hAnsi="Verdana" w:cs="Arial"/>
          <w:sz w:val="22"/>
          <w:szCs w:val="22"/>
          <w:lang w:val="es" w:eastAsia="es-ES"/>
        </w:rPr>
        <w:t xml:space="preserve"> De acuerdo con la Norma Técnica Colombiana NTC 4532, el contenido de la tarjeta de emergencia contiene las siguientes secciones:</w:t>
      </w:r>
    </w:p>
    <w:p w14:paraId="45269501" w14:textId="77777777" w:rsidR="00D94A8F" w:rsidRPr="00617AE9" w:rsidRDefault="00D94A8F" w:rsidP="00AE257D">
      <w:pPr>
        <w:spacing w:after="240" w:line="360" w:lineRule="auto"/>
        <w:ind w:right="-142"/>
        <w:jc w:val="both"/>
        <w:rPr>
          <w:rFonts w:ascii="Verdana" w:hAnsi="Verdana" w:cs="Arial"/>
          <w:sz w:val="22"/>
          <w:szCs w:val="22"/>
          <w:lang w:val="es" w:eastAsia="es-ES"/>
        </w:rPr>
      </w:pPr>
      <w:r w:rsidRPr="00617AE9">
        <w:rPr>
          <w:rFonts w:ascii="Verdana" w:hAnsi="Verdana" w:cs="Arial"/>
          <w:sz w:val="22"/>
          <w:szCs w:val="22"/>
          <w:lang w:val="es" w:eastAsia="es-ES"/>
        </w:rPr>
        <w:t>•    Sección 1: Identificación del producto y la compañía</w:t>
      </w:r>
    </w:p>
    <w:p w14:paraId="742F228C" w14:textId="77777777" w:rsidR="00D94A8F" w:rsidRPr="00617AE9" w:rsidRDefault="00D94A8F" w:rsidP="00AE257D">
      <w:pPr>
        <w:spacing w:after="240" w:line="360" w:lineRule="auto"/>
        <w:ind w:right="-142"/>
        <w:jc w:val="both"/>
        <w:rPr>
          <w:rFonts w:ascii="Verdana" w:hAnsi="Verdana" w:cs="Arial"/>
          <w:sz w:val="22"/>
          <w:szCs w:val="22"/>
          <w:lang w:val="es" w:eastAsia="es-ES"/>
        </w:rPr>
      </w:pPr>
      <w:r w:rsidRPr="00617AE9">
        <w:rPr>
          <w:rFonts w:ascii="Verdana" w:hAnsi="Verdana" w:cs="Arial"/>
          <w:sz w:val="22"/>
          <w:szCs w:val="22"/>
          <w:lang w:val="es" w:eastAsia="es-ES"/>
        </w:rPr>
        <w:t>•    Sección 2: Identificación de peligros</w:t>
      </w:r>
    </w:p>
    <w:p w14:paraId="4F4D573C" w14:textId="77777777" w:rsidR="00D94A8F" w:rsidRPr="00617AE9" w:rsidRDefault="00D94A8F" w:rsidP="00AE257D">
      <w:pPr>
        <w:spacing w:after="240" w:line="360" w:lineRule="auto"/>
        <w:ind w:right="-142"/>
        <w:jc w:val="both"/>
        <w:rPr>
          <w:rFonts w:ascii="Verdana" w:hAnsi="Verdana" w:cs="Arial"/>
          <w:sz w:val="22"/>
          <w:szCs w:val="22"/>
          <w:lang w:val="es" w:eastAsia="es-ES"/>
        </w:rPr>
      </w:pPr>
      <w:r w:rsidRPr="00617AE9">
        <w:rPr>
          <w:rFonts w:ascii="Verdana" w:hAnsi="Verdana" w:cs="Arial"/>
          <w:sz w:val="22"/>
          <w:szCs w:val="22"/>
          <w:lang w:val="es" w:eastAsia="es-ES"/>
        </w:rPr>
        <w:t>•    Sección 3: Controles de exposición y protección personal</w:t>
      </w:r>
    </w:p>
    <w:p w14:paraId="651874BB" w14:textId="77777777" w:rsidR="00D94A8F" w:rsidRPr="00617AE9" w:rsidRDefault="00D94A8F" w:rsidP="00AE257D">
      <w:pPr>
        <w:spacing w:after="240" w:line="360" w:lineRule="auto"/>
        <w:ind w:right="-142"/>
        <w:jc w:val="both"/>
        <w:rPr>
          <w:rFonts w:ascii="Verdana" w:hAnsi="Verdana" w:cs="Arial"/>
          <w:sz w:val="22"/>
          <w:szCs w:val="22"/>
          <w:lang w:val="es" w:eastAsia="es-ES"/>
        </w:rPr>
      </w:pPr>
      <w:r w:rsidRPr="00617AE9">
        <w:rPr>
          <w:rFonts w:ascii="Verdana" w:hAnsi="Verdana" w:cs="Arial"/>
          <w:sz w:val="22"/>
          <w:szCs w:val="22"/>
          <w:lang w:val="es" w:eastAsia="es-ES"/>
        </w:rPr>
        <w:t>•    Sección 4: Estabilidad y reactividad</w:t>
      </w:r>
    </w:p>
    <w:p w14:paraId="76432543" w14:textId="77777777" w:rsidR="00D94A8F" w:rsidRPr="00617AE9" w:rsidRDefault="00D94A8F" w:rsidP="00AE257D">
      <w:pPr>
        <w:spacing w:after="240" w:line="360" w:lineRule="auto"/>
        <w:ind w:right="-142"/>
        <w:jc w:val="both"/>
        <w:rPr>
          <w:rFonts w:ascii="Verdana" w:hAnsi="Verdana" w:cs="Arial"/>
          <w:sz w:val="22"/>
          <w:szCs w:val="22"/>
          <w:lang w:val="es" w:eastAsia="es-ES"/>
        </w:rPr>
      </w:pPr>
      <w:r w:rsidRPr="00617AE9">
        <w:rPr>
          <w:rFonts w:ascii="Verdana" w:hAnsi="Verdana" w:cs="Arial"/>
          <w:sz w:val="22"/>
          <w:szCs w:val="22"/>
          <w:lang w:val="es" w:eastAsia="es-ES"/>
        </w:rPr>
        <w:lastRenderedPageBreak/>
        <w:t>•    Sección 5: Medidas de primeros auxilios</w:t>
      </w:r>
    </w:p>
    <w:p w14:paraId="08F97ACC" w14:textId="77777777" w:rsidR="00D94A8F" w:rsidRPr="00617AE9" w:rsidRDefault="00D94A8F" w:rsidP="00AE257D">
      <w:pPr>
        <w:spacing w:after="240" w:line="360" w:lineRule="auto"/>
        <w:ind w:right="-142"/>
        <w:jc w:val="both"/>
        <w:rPr>
          <w:rFonts w:ascii="Verdana" w:hAnsi="Verdana" w:cs="Arial"/>
          <w:sz w:val="22"/>
          <w:szCs w:val="22"/>
          <w:lang w:val="es" w:eastAsia="es-ES"/>
        </w:rPr>
      </w:pPr>
      <w:r w:rsidRPr="00617AE9">
        <w:rPr>
          <w:rFonts w:ascii="Verdana" w:hAnsi="Verdana" w:cs="Arial"/>
          <w:sz w:val="22"/>
          <w:szCs w:val="22"/>
          <w:lang w:val="es" w:eastAsia="es-ES"/>
        </w:rPr>
        <w:t>•    Sección 6: Medidas para extinción de incendios</w:t>
      </w:r>
    </w:p>
    <w:p w14:paraId="65E89689" w14:textId="77777777" w:rsidR="00D94A8F" w:rsidRPr="00617AE9" w:rsidRDefault="00D94A8F" w:rsidP="00AE257D">
      <w:pPr>
        <w:spacing w:after="240" w:line="360" w:lineRule="auto"/>
        <w:jc w:val="both"/>
        <w:rPr>
          <w:rFonts w:ascii="Verdana" w:hAnsi="Verdana" w:cs="Arial"/>
          <w:sz w:val="22"/>
          <w:szCs w:val="22"/>
          <w:lang w:val="es" w:eastAsia="es-ES"/>
        </w:rPr>
      </w:pPr>
      <w:r w:rsidRPr="00617AE9">
        <w:rPr>
          <w:rFonts w:ascii="Verdana" w:hAnsi="Verdana" w:cs="Arial"/>
          <w:sz w:val="22"/>
          <w:szCs w:val="22"/>
          <w:lang w:val="es" w:eastAsia="es-ES"/>
        </w:rPr>
        <w:t>•    Sección 7: Medidas en caso de vertido accidental</w:t>
      </w:r>
    </w:p>
    <w:p w14:paraId="106D852E" w14:textId="77777777" w:rsidR="00D94A8F" w:rsidRPr="00617AE9" w:rsidRDefault="00D94A8F" w:rsidP="00AE257D">
      <w:pPr>
        <w:pStyle w:val="Ttulo2"/>
        <w:spacing w:after="240"/>
        <w:rPr>
          <w:rFonts w:ascii="Verdana" w:hAnsi="Verdana" w:cs="Arial"/>
          <w:b/>
          <w:i/>
          <w:color w:val="auto"/>
          <w:sz w:val="22"/>
          <w:szCs w:val="22"/>
          <w:lang w:val="es" w:eastAsia="ar-SA"/>
        </w:rPr>
      </w:pPr>
      <w:bookmarkStart w:id="6" w:name="_Toc73035931"/>
      <w:r w:rsidRPr="00617AE9">
        <w:rPr>
          <w:rFonts w:ascii="Verdana" w:hAnsi="Verdana" w:cs="Arial"/>
          <w:b/>
          <w:color w:val="auto"/>
          <w:sz w:val="22"/>
          <w:szCs w:val="22"/>
          <w:lang w:val="es" w:eastAsia="ar-SA"/>
        </w:rPr>
        <w:t>6.   DESARROLLO DEL DOCUMENTO</w:t>
      </w:r>
      <w:bookmarkEnd w:id="6"/>
    </w:p>
    <w:p w14:paraId="549AFEB1" w14:textId="77777777" w:rsidR="00D94A8F" w:rsidRPr="00617AE9" w:rsidRDefault="00D94A8F" w:rsidP="00AE257D">
      <w:pPr>
        <w:pStyle w:val="Ttulo2"/>
        <w:spacing w:after="240"/>
        <w:rPr>
          <w:rFonts w:ascii="Verdana" w:hAnsi="Verdana" w:cs="Arial"/>
          <w:b/>
          <w:i/>
          <w:color w:val="auto"/>
          <w:sz w:val="22"/>
          <w:szCs w:val="22"/>
          <w:lang w:val="es" w:eastAsia="ar-SA"/>
        </w:rPr>
      </w:pPr>
      <w:bookmarkStart w:id="7" w:name="_Toc73035932"/>
      <w:r w:rsidRPr="00617AE9">
        <w:rPr>
          <w:rFonts w:ascii="Verdana" w:hAnsi="Verdana" w:cs="Arial"/>
          <w:b/>
          <w:color w:val="auto"/>
          <w:sz w:val="22"/>
          <w:szCs w:val="22"/>
          <w:lang w:val="es" w:eastAsia="ar-SA"/>
        </w:rPr>
        <w:t>6.1. Productos químicos peligrosos</w:t>
      </w:r>
      <w:bookmarkEnd w:id="7"/>
    </w:p>
    <w:p w14:paraId="2D5ECA2F" w14:textId="77777777" w:rsidR="00D94A8F" w:rsidRPr="00617AE9" w:rsidRDefault="00D94A8F" w:rsidP="00AE257D">
      <w:pPr>
        <w:spacing w:after="240"/>
        <w:jc w:val="both"/>
        <w:rPr>
          <w:rFonts w:ascii="Verdana" w:hAnsi="Verdana" w:cs="Arial"/>
          <w:sz w:val="22"/>
          <w:szCs w:val="22"/>
          <w:lang w:val="es" w:eastAsia="es-ES"/>
        </w:rPr>
      </w:pPr>
      <w:r w:rsidRPr="00617AE9">
        <w:rPr>
          <w:rFonts w:ascii="Verdana" w:hAnsi="Verdana" w:cs="Arial"/>
          <w:sz w:val="22"/>
          <w:szCs w:val="22"/>
          <w:lang w:val="es" w:eastAsia="es-ES"/>
        </w:rPr>
        <w:t>En general todo producto químico, bajo condiciones específicas, presenta algún riesgo para las personas y las instalaciones.  Sin embargo, existe un gran número de ellos que pueden ocasionar lesiones, accidentes y daños con gran facilidad, sin que se requiera de unas condiciones extremas; estos son llamados productos químicos peligrosos y exigen mayor atención. Los productos químicos peligrosos son aquellos elementos químicos, compuestos o mezclas, tal como se presentan en su estado natural o como se producen en la industria, que originan:</w:t>
      </w:r>
    </w:p>
    <w:p w14:paraId="32F071CA" w14:textId="77777777" w:rsidR="00D94A8F" w:rsidRPr="00617AE9" w:rsidRDefault="00D94A8F" w:rsidP="00AE257D">
      <w:pPr>
        <w:numPr>
          <w:ilvl w:val="0"/>
          <w:numId w:val="27"/>
        </w:numPr>
        <w:suppressAutoHyphens/>
        <w:spacing w:after="240" w:line="259" w:lineRule="auto"/>
        <w:jc w:val="both"/>
        <w:rPr>
          <w:rFonts w:ascii="Verdana" w:hAnsi="Verdana" w:cs="Arial"/>
          <w:sz w:val="22"/>
          <w:szCs w:val="22"/>
          <w:lang w:val="es" w:eastAsia="es-ES"/>
        </w:rPr>
      </w:pPr>
      <w:r w:rsidRPr="00617AE9">
        <w:rPr>
          <w:rFonts w:ascii="Verdana" w:hAnsi="Verdana" w:cs="Arial"/>
          <w:b/>
          <w:sz w:val="22"/>
          <w:szCs w:val="22"/>
          <w:lang w:val="es" w:eastAsia="es-ES"/>
        </w:rPr>
        <w:t>Riesgos para la Salud:</w:t>
      </w:r>
      <w:r w:rsidRPr="00617AE9">
        <w:rPr>
          <w:rFonts w:ascii="Verdana" w:hAnsi="Verdana" w:cs="Arial"/>
          <w:sz w:val="22"/>
          <w:szCs w:val="22"/>
          <w:lang w:val="es" w:eastAsia="es-ES"/>
        </w:rPr>
        <w:t xml:space="preserve"> al causar efectos agudos inmediatos o efectos crónicos en la salud de las personas o los seres vivientes expuestos por un periodo de tiempo.</w:t>
      </w:r>
    </w:p>
    <w:p w14:paraId="2E9E3A43" w14:textId="2DA8AF30" w:rsidR="00D94A8F" w:rsidRPr="00AE257D" w:rsidRDefault="00AE257D" w:rsidP="00607C2D">
      <w:pPr>
        <w:numPr>
          <w:ilvl w:val="0"/>
          <w:numId w:val="27"/>
        </w:numPr>
        <w:suppressAutoHyphens/>
        <w:spacing w:after="240" w:line="259" w:lineRule="auto"/>
        <w:jc w:val="both"/>
        <w:rPr>
          <w:lang w:val="es" w:eastAsia="ar-SA"/>
        </w:rPr>
      </w:pPr>
      <w:bookmarkStart w:id="8" w:name="_Toc73035065"/>
      <w:bookmarkStart w:id="9" w:name="_Toc73035104"/>
      <w:bookmarkStart w:id="10" w:name="_Toc73035130"/>
      <w:bookmarkStart w:id="11" w:name="_Toc73035149"/>
      <w:bookmarkStart w:id="12" w:name="_Toc73035190"/>
      <w:bookmarkStart w:id="13" w:name="_Toc73035878"/>
      <w:bookmarkStart w:id="14" w:name="_Toc73035909"/>
      <w:bookmarkStart w:id="15" w:name="_Toc73035933"/>
      <w:r w:rsidRPr="00617AE9">
        <w:rPr>
          <w:noProof/>
          <w:lang w:eastAsia="es-CO"/>
        </w:rPr>
        <w:drawing>
          <wp:anchor distT="0" distB="0" distL="114300" distR="114300" simplePos="0" relativeHeight="251659264" behindDoc="0" locked="0" layoutInCell="1" allowOverlap="1" wp14:anchorId="582F441B" wp14:editId="6896FF14">
            <wp:simplePos x="0" y="0"/>
            <wp:positionH relativeFrom="margin">
              <wp:posOffset>748030</wp:posOffset>
            </wp:positionH>
            <wp:positionV relativeFrom="paragraph">
              <wp:posOffset>687070</wp:posOffset>
            </wp:positionV>
            <wp:extent cx="4295775" cy="2879090"/>
            <wp:effectExtent l="0" t="0" r="9525" b="0"/>
            <wp:wrapTopAndBottom/>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rotWithShape="1">
                    <a:blip r:embed="rId8">
                      <a:extLst>
                        <a:ext uri="{28A0092B-C50C-407E-A947-70E740481C1C}">
                          <a14:useLocalDpi xmlns:a14="http://schemas.microsoft.com/office/drawing/2010/main" val="0"/>
                        </a:ext>
                      </a:extLst>
                    </a:blip>
                    <a:srcRect t="6522" b="7745"/>
                    <a:stretch/>
                  </pic:blipFill>
                  <pic:spPr bwMode="auto">
                    <a:xfrm>
                      <a:off x="0" y="0"/>
                      <a:ext cx="4295775" cy="2879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8"/>
      <w:bookmarkEnd w:id="9"/>
      <w:bookmarkEnd w:id="10"/>
      <w:bookmarkEnd w:id="11"/>
      <w:bookmarkEnd w:id="12"/>
      <w:bookmarkEnd w:id="13"/>
      <w:bookmarkEnd w:id="14"/>
      <w:bookmarkEnd w:id="15"/>
      <w:r w:rsidR="00D94A8F" w:rsidRPr="00AE257D">
        <w:rPr>
          <w:rFonts w:ascii="Verdana" w:hAnsi="Verdana" w:cs="Arial"/>
          <w:b/>
          <w:sz w:val="22"/>
          <w:szCs w:val="22"/>
          <w:lang w:val="es" w:eastAsia="es-ES"/>
        </w:rPr>
        <w:t>Riesgos para la Seguridad:</w:t>
      </w:r>
      <w:r w:rsidR="00D94A8F" w:rsidRPr="00AE257D">
        <w:rPr>
          <w:rFonts w:ascii="Verdana" w:hAnsi="Verdana" w:cs="Arial"/>
          <w:sz w:val="22"/>
          <w:szCs w:val="22"/>
          <w:lang w:val="es" w:eastAsia="es-ES"/>
        </w:rPr>
        <w:t xml:space="preserve"> al ocasionar incendios, explosiones o descomposiciones violentas en presencia de calor, oxigeno, agua y otros factores externos.</w:t>
      </w:r>
    </w:p>
    <w:p w14:paraId="73B7F6E0" w14:textId="69E52ECA" w:rsidR="00D94A8F" w:rsidRPr="00617AE9" w:rsidRDefault="00617AE9" w:rsidP="00CD1132">
      <w:pPr>
        <w:spacing w:after="240"/>
        <w:jc w:val="center"/>
        <w:rPr>
          <w:rFonts w:ascii="Verdana" w:hAnsi="Verdana"/>
          <w:sz w:val="22"/>
          <w:szCs w:val="22"/>
          <w:lang w:val="es" w:eastAsia="ar-SA"/>
        </w:rPr>
      </w:pPr>
      <w:r w:rsidRPr="00617AE9">
        <w:rPr>
          <w:rFonts w:ascii="Verdana" w:hAnsi="Verdana"/>
          <w:noProof/>
          <w:sz w:val="22"/>
          <w:szCs w:val="22"/>
          <w:lang w:eastAsia="es-CO"/>
        </w:rPr>
        <w:drawing>
          <wp:inline distT="0" distB="0" distL="0" distR="0" wp14:anchorId="52A73633" wp14:editId="3A890CC4">
            <wp:extent cx="4124325" cy="1199142"/>
            <wp:effectExtent l="0" t="0" r="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t="7303" b="12913"/>
                    <a:stretch/>
                  </pic:blipFill>
                  <pic:spPr bwMode="auto">
                    <a:xfrm>
                      <a:off x="0" y="0"/>
                      <a:ext cx="4152204" cy="1207248"/>
                    </a:xfrm>
                    <a:prstGeom prst="rect">
                      <a:avLst/>
                    </a:prstGeom>
                    <a:noFill/>
                    <a:ln>
                      <a:noFill/>
                    </a:ln>
                    <a:extLst>
                      <a:ext uri="{53640926-AAD7-44D8-BBD7-CCE9431645EC}">
                        <a14:shadowObscured xmlns:a14="http://schemas.microsoft.com/office/drawing/2010/main"/>
                      </a:ext>
                    </a:extLst>
                  </pic:spPr>
                </pic:pic>
              </a:graphicData>
            </a:graphic>
          </wp:inline>
        </w:drawing>
      </w:r>
    </w:p>
    <w:p w14:paraId="7386E216" w14:textId="77777777" w:rsidR="00D94A8F" w:rsidRPr="00617AE9" w:rsidRDefault="00D94A8F" w:rsidP="00AE257D">
      <w:pPr>
        <w:pStyle w:val="Ttulo2"/>
        <w:spacing w:after="240"/>
        <w:rPr>
          <w:rFonts w:ascii="Verdana" w:hAnsi="Verdana" w:cs="Arial"/>
          <w:b/>
          <w:i/>
          <w:color w:val="auto"/>
          <w:sz w:val="22"/>
          <w:szCs w:val="22"/>
          <w:lang w:val="es" w:eastAsia="ar-SA"/>
        </w:rPr>
      </w:pPr>
      <w:bookmarkStart w:id="16" w:name="_Toc73035934"/>
      <w:r w:rsidRPr="00617AE9">
        <w:rPr>
          <w:rFonts w:ascii="Verdana" w:hAnsi="Verdana" w:cs="Arial"/>
          <w:b/>
          <w:color w:val="auto"/>
          <w:sz w:val="22"/>
          <w:szCs w:val="22"/>
          <w:lang w:val="es" w:eastAsia="ar-SA"/>
        </w:rPr>
        <w:t>6.2. Solicitud y recepción de las sustancias químicas de aseo.</w:t>
      </w:r>
      <w:bookmarkEnd w:id="16"/>
    </w:p>
    <w:p w14:paraId="439357B4" w14:textId="77777777" w:rsidR="00D94A8F" w:rsidRPr="00617AE9" w:rsidRDefault="00D94A8F" w:rsidP="00AE257D">
      <w:pPr>
        <w:widowControl w:val="0"/>
        <w:autoSpaceDE w:val="0"/>
        <w:adjustRightInd w:val="0"/>
        <w:spacing w:after="240" w:line="276" w:lineRule="auto"/>
        <w:jc w:val="both"/>
        <w:rPr>
          <w:rFonts w:ascii="Verdana" w:hAnsi="Verdana" w:cs="Arial"/>
          <w:sz w:val="22"/>
          <w:szCs w:val="22"/>
        </w:rPr>
      </w:pPr>
      <w:r w:rsidRPr="00617AE9">
        <w:rPr>
          <w:rFonts w:ascii="Verdana" w:hAnsi="Verdana" w:cs="Arial"/>
          <w:sz w:val="22"/>
          <w:szCs w:val="22"/>
        </w:rPr>
        <w:t xml:space="preserve">El Grupo de recursos físicos es el responsable de la contratación de los servicios </w:t>
      </w:r>
      <w:r w:rsidRPr="00617AE9">
        <w:rPr>
          <w:rFonts w:ascii="Verdana" w:hAnsi="Verdana" w:cs="Arial"/>
          <w:sz w:val="22"/>
          <w:szCs w:val="22"/>
        </w:rPr>
        <w:lastRenderedPageBreak/>
        <w:t>de aseo y cafetería de la Entidad, es por esto que a continuación se describen aspectos técnicos generales a tener en cuenta a la hora de contratar los servicios:</w:t>
      </w:r>
    </w:p>
    <w:p w14:paraId="20DDBE34" w14:textId="77777777" w:rsidR="00D94A8F" w:rsidRPr="00617AE9" w:rsidRDefault="00D94A8F" w:rsidP="00AE257D">
      <w:pPr>
        <w:widowControl w:val="0"/>
        <w:numPr>
          <w:ilvl w:val="0"/>
          <w:numId w:val="22"/>
        </w:numPr>
        <w:suppressAutoHyphens/>
        <w:autoSpaceDE w:val="0"/>
        <w:autoSpaceDN w:val="0"/>
        <w:adjustRightInd w:val="0"/>
        <w:spacing w:after="240" w:line="276" w:lineRule="auto"/>
        <w:ind w:left="284" w:hanging="284"/>
        <w:jc w:val="both"/>
        <w:rPr>
          <w:rFonts w:ascii="Verdana" w:hAnsi="Verdana" w:cs="Arial"/>
          <w:bCs/>
          <w:sz w:val="22"/>
          <w:szCs w:val="22"/>
        </w:rPr>
      </w:pPr>
      <w:r w:rsidRPr="00617AE9">
        <w:rPr>
          <w:rFonts w:ascii="Verdana" w:hAnsi="Verdana" w:cs="Arial"/>
          <w:sz w:val="22"/>
          <w:szCs w:val="22"/>
        </w:rPr>
        <w:t xml:space="preserve">Solicitar al proveedor las fichas de seguridad de los productos de aseo que usarán en la Entidad, los cuales deben cumplir con lo dispuesto en la norma técnica NTC 4435, con fin de proteger la integridad física del personal durante la recepción, manipulación sustancias químicas de aseo y disposición final de los envases. </w:t>
      </w:r>
    </w:p>
    <w:p w14:paraId="42FCAC2C" w14:textId="77777777" w:rsidR="00D94A8F" w:rsidRPr="00617AE9" w:rsidRDefault="00D94A8F" w:rsidP="00AE257D">
      <w:pPr>
        <w:widowControl w:val="0"/>
        <w:autoSpaceDE w:val="0"/>
        <w:adjustRightInd w:val="0"/>
        <w:spacing w:after="240" w:line="276" w:lineRule="auto"/>
        <w:jc w:val="both"/>
        <w:rPr>
          <w:rFonts w:ascii="Verdana" w:hAnsi="Verdana" w:cs="Arial"/>
          <w:bCs/>
          <w:sz w:val="22"/>
          <w:szCs w:val="22"/>
        </w:rPr>
      </w:pPr>
      <w:r w:rsidRPr="00617AE9">
        <w:rPr>
          <w:rFonts w:ascii="Verdana" w:hAnsi="Verdana" w:cs="Arial"/>
          <w:sz w:val="22"/>
          <w:szCs w:val="22"/>
        </w:rPr>
        <w:t>Las hojas de seguridad deben contener la siguiente información:</w:t>
      </w:r>
    </w:p>
    <w:p w14:paraId="4B5609D7" w14:textId="77777777" w:rsidR="00D94A8F" w:rsidRPr="00617AE9" w:rsidRDefault="00D94A8F" w:rsidP="00AE257D">
      <w:pPr>
        <w:numPr>
          <w:ilvl w:val="0"/>
          <w:numId w:val="19"/>
        </w:numPr>
        <w:suppressAutoHyphens/>
        <w:autoSpaceDE w:val="0"/>
        <w:autoSpaceDN w:val="0"/>
        <w:adjustRightInd w:val="0"/>
        <w:spacing w:after="240" w:line="276" w:lineRule="auto"/>
        <w:ind w:left="851" w:hanging="425"/>
        <w:jc w:val="both"/>
        <w:rPr>
          <w:rFonts w:ascii="Verdana" w:hAnsi="Verdana" w:cs="Arial"/>
          <w:bCs/>
          <w:sz w:val="22"/>
          <w:szCs w:val="22"/>
        </w:rPr>
      </w:pPr>
      <w:r w:rsidRPr="00617AE9">
        <w:rPr>
          <w:rFonts w:ascii="Verdana" w:hAnsi="Verdana" w:cs="Arial"/>
          <w:bCs/>
          <w:sz w:val="22"/>
          <w:szCs w:val="22"/>
        </w:rPr>
        <w:t>Identificación de la sustancia y la compañía</w:t>
      </w:r>
    </w:p>
    <w:p w14:paraId="3EC46721" w14:textId="77777777" w:rsidR="00D94A8F" w:rsidRPr="00617AE9" w:rsidRDefault="00D94A8F" w:rsidP="00AE257D">
      <w:pPr>
        <w:numPr>
          <w:ilvl w:val="0"/>
          <w:numId w:val="19"/>
        </w:numPr>
        <w:suppressAutoHyphens/>
        <w:autoSpaceDE w:val="0"/>
        <w:autoSpaceDN w:val="0"/>
        <w:adjustRightInd w:val="0"/>
        <w:spacing w:after="240" w:line="276" w:lineRule="auto"/>
        <w:ind w:left="851" w:hanging="425"/>
        <w:jc w:val="both"/>
        <w:rPr>
          <w:rFonts w:ascii="Verdana" w:hAnsi="Verdana" w:cs="Arial"/>
          <w:sz w:val="22"/>
          <w:szCs w:val="22"/>
        </w:rPr>
      </w:pPr>
      <w:r w:rsidRPr="00617AE9">
        <w:rPr>
          <w:rFonts w:ascii="Verdana" w:hAnsi="Verdana" w:cs="Arial"/>
          <w:bCs/>
          <w:sz w:val="22"/>
          <w:szCs w:val="22"/>
        </w:rPr>
        <w:t>Identificación de peligros</w:t>
      </w:r>
    </w:p>
    <w:p w14:paraId="0FB537A8" w14:textId="77777777" w:rsidR="00D94A8F" w:rsidRPr="00617AE9" w:rsidRDefault="00D94A8F" w:rsidP="00AE257D">
      <w:pPr>
        <w:numPr>
          <w:ilvl w:val="0"/>
          <w:numId w:val="19"/>
        </w:numPr>
        <w:suppressAutoHyphens/>
        <w:autoSpaceDE w:val="0"/>
        <w:autoSpaceDN w:val="0"/>
        <w:adjustRightInd w:val="0"/>
        <w:spacing w:after="240" w:line="276" w:lineRule="auto"/>
        <w:ind w:left="851" w:hanging="425"/>
        <w:jc w:val="both"/>
        <w:rPr>
          <w:rFonts w:ascii="Verdana" w:hAnsi="Verdana" w:cs="Arial"/>
          <w:sz w:val="22"/>
          <w:szCs w:val="22"/>
        </w:rPr>
      </w:pPr>
      <w:r w:rsidRPr="00617AE9">
        <w:rPr>
          <w:rFonts w:ascii="Verdana" w:hAnsi="Verdana" w:cs="Arial"/>
          <w:bCs/>
          <w:sz w:val="22"/>
          <w:szCs w:val="22"/>
        </w:rPr>
        <w:t>Composición, identificación sobre los componentes</w:t>
      </w:r>
    </w:p>
    <w:p w14:paraId="3624D344" w14:textId="77777777" w:rsidR="00D94A8F" w:rsidRPr="00617AE9" w:rsidRDefault="00D94A8F" w:rsidP="00AE257D">
      <w:pPr>
        <w:numPr>
          <w:ilvl w:val="0"/>
          <w:numId w:val="19"/>
        </w:numPr>
        <w:suppressAutoHyphens/>
        <w:autoSpaceDE w:val="0"/>
        <w:autoSpaceDN w:val="0"/>
        <w:adjustRightInd w:val="0"/>
        <w:spacing w:after="240" w:line="276" w:lineRule="auto"/>
        <w:ind w:left="851" w:hanging="425"/>
        <w:jc w:val="both"/>
        <w:rPr>
          <w:rFonts w:ascii="Verdana" w:hAnsi="Verdana" w:cs="Arial"/>
          <w:sz w:val="22"/>
          <w:szCs w:val="22"/>
        </w:rPr>
      </w:pPr>
      <w:r w:rsidRPr="00617AE9">
        <w:rPr>
          <w:rFonts w:ascii="Verdana" w:hAnsi="Verdana" w:cs="Arial"/>
          <w:bCs/>
          <w:sz w:val="22"/>
          <w:szCs w:val="22"/>
        </w:rPr>
        <w:t>Medidas de primeros auxilios</w:t>
      </w:r>
    </w:p>
    <w:p w14:paraId="3DC9AA20" w14:textId="77777777" w:rsidR="00D94A8F" w:rsidRPr="00617AE9" w:rsidRDefault="00D94A8F" w:rsidP="00AE257D">
      <w:pPr>
        <w:numPr>
          <w:ilvl w:val="0"/>
          <w:numId w:val="19"/>
        </w:numPr>
        <w:suppressAutoHyphens/>
        <w:autoSpaceDE w:val="0"/>
        <w:autoSpaceDN w:val="0"/>
        <w:adjustRightInd w:val="0"/>
        <w:spacing w:after="240" w:line="276" w:lineRule="auto"/>
        <w:ind w:left="851" w:hanging="425"/>
        <w:jc w:val="both"/>
        <w:rPr>
          <w:rFonts w:ascii="Verdana" w:hAnsi="Verdana" w:cs="Arial"/>
          <w:sz w:val="22"/>
          <w:szCs w:val="22"/>
        </w:rPr>
      </w:pPr>
      <w:r w:rsidRPr="00617AE9">
        <w:rPr>
          <w:rFonts w:ascii="Verdana" w:hAnsi="Verdana" w:cs="Arial"/>
          <w:bCs/>
          <w:sz w:val="22"/>
          <w:szCs w:val="22"/>
        </w:rPr>
        <w:t>Medidas en caso de incendio</w:t>
      </w:r>
    </w:p>
    <w:p w14:paraId="7C905FF8" w14:textId="77777777" w:rsidR="00D94A8F" w:rsidRPr="00617AE9" w:rsidRDefault="00D94A8F" w:rsidP="00AE257D">
      <w:pPr>
        <w:numPr>
          <w:ilvl w:val="0"/>
          <w:numId w:val="19"/>
        </w:numPr>
        <w:suppressAutoHyphens/>
        <w:autoSpaceDE w:val="0"/>
        <w:autoSpaceDN w:val="0"/>
        <w:adjustRightInd w:val="0"/>
        <w:spacing w:after="240" w:line="276" w:lineRule="auto"/>
        <w:ind w:left="851" w:hanging="425"/>
        <w:jc w:val="both"/>
        <w:rPr>
          <w:rFonts w:ascii="Verdana" w:hAnsi="Verdana" w:cs="Arial"/>
          <w:sz w:val="22"/>
          <w:szCs w:val="22"/>
        </w:rPr>
      </w:pPr>
      <w:r w:rsidRPr="00617AE9">
        <w:rPr>
          <w:rFonts w:ascii="Verdana" w:hAnsi="Verdana" w:cs="Arial"/>
          <w:bCs/>
          <w:sz w:val="22"/>
          <w:szCs w:val="22"/>
        </w:rPr>
        <w:t>Medidas en caso de fuga o derrame accidental</w:t>
      </w:r>
    </w:p>
    <w:p w14:paraId="49BE9ED6" w14:textId="77777777" w:rsidR="00D94A8F" w:rsidRPr="00617AE9" w:rsidRDefault="00D94A8F" w:rsidP="00AE257D">
      <w:pPr>
        <w:numPr>
          <w:ilvl w:val="0"/>
          <w:numId w:val="19"/>
        </w:numPr>
        <w:suppressAutoHyphens/>
        <w:autoSpaceDE w:val="0"/>
        <w:autoSpaceDN w:val="0"/>
        <w:adjustRightInd w:val="0"/>
        <w:spacing w:after="240" w:line="276" w:lineRule="auto"/>
        <w:ind w:left="851" w:hanging="425"/>
        <w:jc w:val="both"/>
        <w:rPr>
          <w:rFonts w:ascii="Verdana" w:hAnsi="Verdana" w:cs="Arial"/>
          <w:sz w:val="22"/>
          <w:szCs w:val="22"/>
        </w:rPr>
      </w:pPr>
      <w:r w:rsidRPr="00617AE9">
        <w:rPr>
          <w:rFonts w:ascii="Verdana" w:hAnsi="Verdana" w:cs="Arial"/>
          <w:bCs/>
          <w:sz w:val="22"/>
          <w:szCs w:val="22"/>
        </w:rPr>
        <w:t>Manejo y almacenamiento</w:t>
      </w:r>
    </w:p>
    <w:p w14:paraId="30E04764" w14:textId="77777777" w:rsidR="00D94A8F" w:rsidRPr="00617AE9" w:rsidRDefault="00D94A8F" w:rsidP="00AE257D">
      <w:pPr>
        <w:numPr>
          <w:ilvl w:val="0"/>
          <w:numId w:val="19"/>
        </w:numPr>
        <w:suppressAutoHyphens/>
        <w:autoSpaceDE w:val="0"/>
        <w:autoSpaceDN w:val="0"/>
        <w:adjustRightInd w:val="0"/>
        <w:spacing w:after="240" w:line="276" w:lineRule="auto"/>
        <w:ind w:left="851" w:hanging="425"/>
        <w:jc w:val="both"/>
        <w:rPr>
          <w:rFonts w:ascii="Verdana" w:hAnsi="Verdana" w:cs="Arial"/>
          <w:sz w:val="22"/>
          <w:szCs w:val="22"/>
        </w:rPr>
      </w:pPr>
      <w:r w:rsidRPr="00617AE9">
        <w:rPr>
          <w:rFonts w:ascii="Verdana" w:hAnsi="Verdana" w:cs="Arial"/>
          <w:bCs/>
          <w:sz w:val="22"/>
          <w:szCs w:val="22"/>
        </w:rPr>
        <w:t>Controles de exposición y protección personal</w:t>
      </w:r>
    </w:p>
    <w:p w14:paraId="271FA464" w14:textId="77777777" w:rsidR="00D94A8F" w:rsidRPr="00617AE9" w:rsidRDefault="00D94A8F" w:rsidP="00AE257D">
      <w:pPr>
        <w:numPr>
          <w:ilvl w:val="0"/>
          <w:numId w:val="19"/>
        </w:numPr>
        <w:suppressAutoHyphens/>
        <w:autoSpaceDE w:val="0"/>
        <w:autoSpaceDN w:val="0"/>
        <w:adjustRightInd w:val="0"/>
        <w:spacing w:after="240" w:line="276" w:lineRule="auto"/>
        <w:ind w:left="851" w:hanging="425"/>
        <w:jc w:val="both"/>
        <w:rPr>
          <w:rFonts w:ascii="Verdana" w:hAnsi="Verdana" w:cs="Arial"/>
          <w:sz w:val="22"/>
          <w:szCs w:val="22"/>
        </w:rPr>
      </w:pPr>
      <w:r w:rsidRPr="00617AE9">
        <w:rPr>
          <w:rFonts w:ascii="Verdana" w:hAnsi="Verdana" w:cs="Arial"/>
          <w:bCs/>
          <w:sz w:val="22"/>
          <w:szCs w:val="22"/>
        </w:rPr>
        <w:t>Propiedades físicas y químicas</w:t>
      </w:r>
    </w:p>
    <w:p w14:paraId="03F25ABC" w14:textId="77777777" w:rsidR="00D94A8F" w:rsidRPr="00617AE9" w:rsidRDefault="00D94A8F" w:rsidP="00AE257D">
      <w:pPr>
        <w:numPr>
          <w:ilvl w:val="0"/>
          <w:numId w:val="19"/>
        </w:numPr>
        <w:suppressAutoHyphens/>
        <w:autoSpaceDE w:val="0"/>
        <w:autoSpaceDN w:val="0"/>
        <w:adjustRightInd w:val="0"/>
        <w:spacing w:after="240" w:line="276" w:lineRule="auto"/>
        <w:ind w:left="851" w:hanging="425"/>
        <w:jc w:val="both"/>
        <w:rPr>
          <w:rFonts w:ascii="Verdana" w:hAnsi="Verdana" w:cs="Arial"/>
          <w:sz w:val="22"/>
          <w:szCs w:val="22"/>
        </w:rPr>
      </w:pPr>
      <w:r w:rsidRPr="00617AE9">
        <w:rPr>
          <w:rFonts w:ascii="Verdana" w:hAnsi="Verdana" w:cs="Arial"/>
          <w:bCs/>
          <w:sz w:val="22"/>
          <w:szCs w:val="22"/>
        </w:rPr>
        <w:t>Estabilidad y reactividad</w:t>
      </w:r>
    </w:p>
    <w:p w14:paraId="038F9FF0" w14:textId="77777777" w:rsidR="00D94A8F" w:rsidRPr="00617AE9" w:rsidRDefault="00D94A8F" w:rsidP="00AE257D">
      <w:pPr>
        <w:numPr>
          <w:ilvl w:val="0"/>
          <w:numId w:val="19"/>
        </w:numPr>
        <w:suppressAutoHyphens/>
        <w:autoSpaceDE w:val="0"/>
        <w:autoSpaceDN w:val="0"/>
        <w:adjustRightInd w:val="0"/>
        <w:spacing w:after="240" w:line="276" w:lineRule="auto"/>
        <w:ind w:left="851" w:hanging="425"/>
        <w:jc w:val="both"/>
        <w:rPr>
          <w:rFonts w:ascii="Verdana" w:hAnsi="Verdana" w:cs="Arial"/>
          <w:sz w:val="22"/>
          <w:szCs w:val="22"/>
        </w:rPr>
      </w:pPr>
      <w:r w:rsidRPr="00617AE9">
        <w:rPr>
          <w:rFonts w:ascii="Verdana" w:hAnsi="Verdana" w:cs="Arial"/>
          <w:bCs/>
          <w:sz w:val="22"/>
          <w:szCs w:val="22"/>
        </w:rPr>
        <w:t>Información toxicológica</w:t>
      </w:r>
    </w:p>
    <w:p w14:paraId="37F77229" w14:textId="77777777" w:rsidR="00D94A8F" w:rsidRPr="00617AE9" w:rsidRDefault="00D94A8F" w:rsidP="00AE257D">
      <w:pPr>
        <w:numPr>
          <w:ilvl w:val="0"/>
          <w:numId w:val="19"/>
        </w:numPr>
        <w:suppressAutoHyphens/>
        <w:autoSpaceDE w:val="0"/>
        <w:autoSpaceDN w:val="0"/>
        <w:adjustRightInd w:val="0"/>
        <w:spacing w:after="240" w:line="276" w:lineRule="auto"/>
        <w:ind w:left="851" w:hanging="425"/>
        <w:jc w:val="both"/>
        <w:rPr>
          <w:rFonts w:ascii="Verdana" w:hAnsi="Verdana" w:cs="Arial"/>
          <w:sz w:val="22"/>
          <w:szCs w:val="22"/>
        </w:rPr>
      </w:pPr>
      <w:r w:rsidRPr="00617AE9">
        <w:rPr>
          <w:rFonts w:ascii="Verdana" w:hAnsi="Verdana" w:cs="Arial"/>
          <w:bCs/>
          <w:sz w:val="22"/>
          <w:szCs w:val="22"/>
        </w:rPr>
        <w:t>Información ecológica</w:t>
      </w:r>
    </w:p>
    <w:p w14:paraId="2AE35CAC" w14:textId="77777777" w:rsidR="00D94A8F" w:rsidRPr="00617AE9" w:rsidRDefault="00D94A8F" w:rsidP="00AE257D">
      <w:pPr>
        <w:numPr>
          <w:ilvl w:val="0"/>
          <w:numId w:val="19"/>
        </w:numPr>
        <w:suppressAutoHyphens/>
        <w:autoSpaceDE w:val="0"/>
        <w:autoSpaceDN w:val="0"/>
        <w:adjustRightInd w:val="0"/>
        <w:spacing w:after="240" w:line="276" w:lineRule="auto"/>
        <w:ind w:left="851" w:hanging="425"/>
        <w:jc w:val="both"/>
        <w:rPr>
          <w:rFonts w:ascii="Verdana" w:hAnsi="Verdana" w:cs="Arial"/>
          <w:sz w:val="22"/>
          <w:szCs w:val="22"/>
        </w:rPr>
      </w:pPr>
      <w:r w:rsidRPr="00617AE9">
        <w:rPr>
          <w:rFonts w:ascii="Verdana" w:hAnsi="Verdana" w:cs="Arial"/>
          <w:bCs/>
          <w:sz w:val="22"/>
          <w:szCs w:val="22"/>
        </w:rPr>
        <w:t xml:space="preserve">Consideraciones de disposición </w:t>
      </w:r>
    </w:p>
    <w:p w14:paraId="6F66FACA" w14:textId="77777777" w:rsidR="00D94A8F" w:rsidRPr="00617AE9" w:rsidRDefault="00D94A8F" w:rsidP="00AE257D">
      <w:pPr>
        <w:numPr>
          <w:ilvl w:val="0"/>
          <w:numId w:val="19"/>
        </w:numPr>
        <w:suppressAutoHyphens/>
        <w:autoSpaceDE w:val="0"/>
        <w:autoSpaceDN w:val="0"/>
        <w:adjustRightInd w:val="0"/>
        <w:spacing w:after="240" w:line="276" w:lineRule="auto"/>
        <w:ind w:left="851" w:hanging="425"/>
        <w:jc w:val="both"/>
        <w:rPr>
          <w:rFonts w:ascii="Verdana" w:hAnsi="Verdana" w:cs="Arial"/>
          <w:sz w:val="22"/>
          <w:szCs w:val="22"/>
        </w:rPr>
      </w:pPr>
      <w:r w:rsidRPr="00617AE9">
        <w:rPr>
          <w:rFonts w:ascii="Verdana" w:hAnsi="Verdana" w:cs="Arial"/>
          <w:bCs/>
          <w:sz w:val="22"/>
          <w:szCs w:val="22"/>
        </w:rPr>
        <w:t>Información sobre transporte</w:t>
      </w:r>
    </w:p>
    <w:p w14:paraId="5CAFFC16" w14:textId="77777777" w:rsidR="00D94A8F" w:rsidRPr="00617AE9" w:rsidRDefault="00D94A8F" w:rsidP="00AE257D">
      <w:pPr>
        <w:numPr>
          <w:ilvl w:val="0"/>
          <w:numId w:val="19"/>
        </w:numPr>
        <w:suppressAutoHyphens/>
        <w:autoSpaceDE w:val="0"/>
        <w:autoSpaceDN w:val="0"/>
        <w:adjustRightInd w:val="0"/>
        <w:spacing w:after="240" w:line="276" w:lineRule="auto"/>
        <w:ind w:left="851" w:hanging="425"/>
        <w:jc w:val="both"/>
        <w:rPr>
          <w:rFonts w:ascii="Verdana" w:hAnsi="Verdana" w:cs="Arial"/>
          <w:sz w:val="22"/>
          <w:szCs w:val="22"/>
        </w:rPr>
      </w:pPr>
      <w:r w:rsidRPr="00617AE9">
        <w:rPr>
          <w:rFonts w:ascii="Verdana" w:hAnsi="Verdana" w:cs="Arial"/>
          <w:bCs/>
          <w:sz w:val="22"/>
          <w:szCs w:val="22"/>
        </w:rPr>
        <w:t>Información reglamentaria</w:t>
      </w:r>
    </w:p>
    <w:p w14:paraId="6666B6A0" w14:textId="77777777" w:rsidR="00D94A8F" w:rsidRPr="00617AE9" w:rsidRDefault="00D94A8F" w:rsidP="00AE257D">
      <w:pPr>
        <w:numPr>
          <w:ilvl w:val="0"/>
          <w:numId w:val="19"/>
        </w:numPr>
        <w:suppressAutoHyphens/>
        <w:autoSpaceDE w:val="0"/>
        <w:autoSpaceDN w:val="0"/>
        <w:adjustRightInd w:val="0"/>
        <w:spacing w:after="240" w:line="276" w:lineRule="auto"/>
        <w:ind w:left="851" w:hanging="425"/>
        <w:jc w:val="both"/>
        <w:rPr>
          <w:rFonts w:ascii="Verdana" w:hAnsi="Verdana" w:cs="Arial"/>
          <w:sz w:val="22"/>
          <w:szCs w:val="22"/>
        </w:rPr>
      </w:pPr>
      <w:r w:rsidRPr="00617AE9">
        <w:rPr>
          <w:rFonts w:ascii="Verdana" w:hAnsi="Verdana" w:cs="Arial"/>
          <w:bCs/>
          <w:sz w:val="22"/>
          <w:szCs w:val="22"/>
        </w:rPr>
        <w:t>Información adicional</w:t>
      </w:r>
    </w:p>
    <w:p w14:paraId="72C029BC" w14:textId="00524422" w:rsidR="00D94A8F" w:rsidRPr="00AE257D" w:rsidRDefault="00D94A8F" w:rsidP="0061422B">
      <w:pPr>
        <w:numPr>
          <w:ilvl w:val="0"/>
          <w:numId w:val="22"/>
        </w:numPr>
        <w:suppressAutoHyphens/>
        <w:autoSpaceDE w:val="0"/>
        <w:autoSpaceDN w:val="0"/>
        <w:adjustRightInd w:val="0"/>
        <w:spacing w:after="240" w:line="276" w:lineRule="auto"/>
        <w:ind w:left="284"/>
        <w:jc w:val="both"/>
        <w:rPr>
          <w:rFonts w:ascii="Verdana" w:hAnsi="Verdana" w:cs="Arial"/>
          <w:sz w:val="22"/>
          <w:szCs w:val="22"/>
        </w:rPr>
      </w:pPr>
      <w:r w:rsidRPr="00AE257D">
        <w:rPr>
          <w:rFonts w:ascii="Verdana" w:hAnsi="Verdana" w:cs="Arial"/>
          <w:bCs/>
          <w:sz w:val="22"/>
          <w:szCs w:val="22"/>
        </w:rPr>
        <w:t xml:space="preserve">Esta información se debe tener en cuenta para su correcta </w:t>
      </w:r>
      <w:r w:rsidRPr="00AE257D">
        <w:rPr>
          <w:rFonts w:ascii="Verdana" w:hAnsi="Verdana" w:cs="Arial"/>
          <w:sz w:val="22"/>
          <w:szCs w:val="22"/>
        </w:rPr>
        <w:t>recepción, manipulación y disposición final de las sustancias químicas.</w:t>
      </w:r>
    </w:p>
    <w:p w14:paraId="510E0835" w14:textId="77777777" w:rsidR="00D94A8F" w:rsidRPr="00617AE9" w:rsidRDefault="00D94A8F" w:rsidP="00AE257D">
      <w:pPr>
        <w:numPr>
          <w:ilvl w:val="0"/>
          <w:numId w:val="22"/>
        </w:numPr>
        <w:suppressAutoHyphens/>
        <w:autoSpaceDE w:val="0"/>
        <w:autoSpaceDN w:val="0"/>
        <w:adjustRightInd w:val="0"/>
        <w:spacing w:after="240" w:line="276" w:lineRule="auto"/>
        <w:jc w:val="both"/>
        <w:rPr>
          <w:rFonts w:ascii="Verdana" w:hAnsi="Verdana" w:cs="Arial"/>
          <w:sz w:val="22"/>
          <w:szCs w:val="22"/>
        </w:rPr>
      </w:pPr>
      <w:r w:rsidRPr="00617AE9">
        <w:rPr>
          <w:rFonts w:ascii="Verdana" w:hAnsi="Verdana" w:cs="Arial"/>
          <w:sz w:val="22"/>
          <w:szCs w:val="22"/>
        </w:rPr>
        <w:t xml:space="preserve">De igual manera la información debe mantenerse en un lugar de fácil acceso, así como también se debe entregar una copia al personal líder del sistema de seguridad y salud en el trabajo. </w:t>
      </w:r>
    </w:p>
    <w:p w14:paraId="01335FCE" w14:textId="77777777" w:rsidR="00D94A8F" w:rsidRPr="00617AE9" w:rsidRDefault="00D94A8F" w:rsidP="00AE257D">
      <w:pPr>
        <w:numPr>
          <w:ilvl w:val="0"/>
          <w:numId w:val="20"/>
        </w:numPr>
        <w:suppressAutoHyphens/>
        <w:autoSpaceDN w:val="0"/>
        <w:spacing w:after="240" w:line="276" w:lineRule="auto"/>
        <w:ind w:left="284" w:hanging="284"/>
        <w:jc w:val="both"/>
        <w:textAlignment w:val="baseline"/>
        <w:rPr>
          <w:rFonts w:ascii="Verdana" w:hAnsi="Verdana" w:cs="Arial"/>
          <w:sz w:val="22"/>
          <w:szCs w:val="22"/>
        </w:rPr>
      </w:pPr>
      <w:r w:rsidRPr="00617AE9">
        <w:rPr>
          <w:rFonts w:ascii="Verdana" w:hAnsi="Verdana" w:cs="Arial"/>
          <w:sz w:val="22"/>
          <w:szCs w:val="22"/>
        </w:rPr>
        <w:t>Garantizar que el personal que manipula las sustancias de aseo debe ser calificado y capacitado en técnicas y manejo de sustancias de aseo, solicitando al proveedor los respectivos certificados.</w:t>
      </w:r>
    </w:p>
    <w:p w14:paraId="333F16A6" w14:textId="77777777" w:rsidR="00D94A8F" w:rsidRPr="00617AE9" w:rsidRDefault="00D94A8F" w:rsidP="00AE257D">
      <w:pPr>
        <w:numPr>
          <w:ilvl w:val="0"/>
          <w:numId w:val="20"/>
        </w:numPr>
        <w:suppressAutoHyphens/>
        <w:autoSpaceDN w:val="0"/>
        <w:spacing w:after="240" w:line="276" w:lineRule="auto"/>
        <w:ind w:left="284" w:hanging="284"/>
        <w:jc w:val="both"/>
        <w:textAlignment w:val="baseline"/>
        <w:rPr>
          <w:rFonts w:ascii="Verdana" w:hAnsi="Verdana" w:cs="Arial"/>
          <w:sz w:val="22"/>
          <w:szCs w:val="22"/>
        </w:rPr>
      </w:pPr>
      <w:r w:rsidRPr="00617AE9">
        <w:rPr>
          <w:rFonts w:ascii="Verdana" w:hAnsi="Verdana" w:cs="Arial"/>
          <w:sz w:val="22"/>
          <w:szCs w:val="22"/>
        </w:rPr>
        <w:lastRenderedPageBreak/>
        <w:t>Garantizar que se suministra al personal de aseo, los elementos de protección personal necesarios para desempeñar sus labores y cumplir los requerimientos de las hojas de seguridad.</w:t>
      </w:r>
    </w:p>
    <w:p w14:paraId="47FD29A6" w14:textId="77777777" w:rsidR="00D94A8F" w:rsidRPr="00617AE9" w:rsidRDefault="00D94A8F" w:rsidP="00AE257D">
      <w:pPr>
        <w:numPr>
          <w:ilvl w:val="0"/>
          <w:numId w:val="18"/>
        </w:numPr>
        <w:suppressAutoHyphens/>
        <w:autoSpaceDE w:val="0"/>
        <w:autoSpaceDN w:val="0"/>
        <w:adjustRightInd w:val="0"/>
        <w:spacing w:after="240" w:line="276" w:lineRule="auto"/>
        <w:ind w:left="284" w:hanging="284"/>
        <w:jc w:val="both"/>
        <w:rPr>
          <w:rFonts w:ascii="Verdana" w:hAnsi="Verdana" w:cs="Arial"/>
          <w:sz w:val="22"/>
          <w:szCs w:val="22"/>
        </w:rPr>
      </w:pPr>
      <w:r w:rsidRPr="00617AE9">
        <w:rPr>
          <w:rFonts w:ascii="Verdana" w:hAnsi="Verdana" w:cs="Arial"/>
          <w:sz w:val="22"/>
          <w:szCs w:val="22"/>
        </w:rPr>
        <w:t>Requerir los empaques de las sustancias en original y no reenvasado. Estos tampoco deben estar en malas condiciones (abolladuras, roturas, fisuras, etiquetas ilegibles)</w:t>
      </w:r>
    </w:p>
    <w:p w14:paraId="147A3B15" w14:textId="27B3305D" w:rsidR="00D94A8F" w:rsidRPr="00617AE9" w:rsidRDefault="00D94A8F" w:rsidP="00AE257D">
      <w:pPr>
        <w:numPr>
          <w:ilvl w:val="0"/>
          <w:numId w:val="18"/>
        </w:numPr>
        <w:suppressAutoHyphens/>
        <w:autoSpaceDE w:val="0"/>
        <w:autoSpaceDN w:val="0"/>
        <w:adjustRightInd w:val="0"/>
        <w:spacing w:after="240" w:line="276" w:lineRule="auto"/>
        <w:ind w:left="284" w:hanging="284"/>
        <w:jc w:val="both"/>
        <w:rPr>
          <w:rFonts w:ascii="Verdana" w:hAnsi="Verdana" w:cs="Arial"/>
          <w:i/>
          <w:sz w:val="22"/>
          <w:szCs w:val="22"/>
          <w:lang w:val="es" w:eastAsia="ar-SA"/>
        </w:rPr>
      </w:pPr>
      <w:r w:rsidRPr="00617AE9">
        <w:rPr>
          <w:rFonts w:ascii="Verdana" w:hAnsi="Verdana" w:cs="Arial"/>
          <w:sz w:val="22"/>
          <w:szCs w:val="22"/>
        </w:rPr>
        <w:t xml:space="preserve">Requerir un informe o certificado al proveedor firmado por el representante legal, en el cual especifique que los productos suministrados no tienen, son o </w:t>
      </w:r>
      <w:r w:rsidRPr="00617AE9">
        <w:rPr>
          <w:rFonts w:ascii="Verdana" w:hAnsi="Verdana" w:cs="Arial"/>
          <w:sz w:val="22"/>
          <w:szCs w:val="22"/>
          <w:shd w:val="clear" w:color="auto" w:fill="FFFFFF"/>
        </w:rPr>
        <w:t>tienen componentes o sustancias catalogadas como carcinógenas en el grupo 1 de la clasificación de la Agencia Internacional de Investigación sobre el Cáncer (</w:t>
      </w:r>
      <w:r w:rsidRPr="00AE257D">
        <w:rPr>
          <w:rFonts w:ascii="Verdana" w:hAnsi="Verdana" w:cs="Arial"/>
          <w:sz w:val="22"/>
          <w:szCs w:val="22"/>
          <w:shd w:val="clear" w:color="auto" w:fill="FFFFFF"/>
        </w:rPr>
        <w:t>Interna</w:t>
      </w:r>
      <w:r w:rsidR="00AE257D" w:rsidRPr="00AE257D">
        <w:rPr>
          <w:rFonts w:ascii="Verdana" w:hAnsi="Verdana" w:cs="Arial"/>
          <w:sz w:val="22"/>
          <w:szCs w:val="22"/>
          <w:shd w:val="clear" w:color="auto" w:fill="FFFFFF"/>
        </w:rPr>
        <w:t xml:space="preserve">tional Agency </w:t>
      </w:r>
      <w:proofErr w:type="spellStart"/>
      <w:r w:rsidR="00AE257D" w:rsidRPr="00CD1132">
        <w:rPr>
          <w:rFonts w:ascii="Verdana" w:hAnsi="Verdana" w:cs="Arial"/>
          <w:sz w:val="22"/>
          <w:szCs w:val="22"/>
          <w:shd w:val="clear" w:color="auto" w:fill="FFFFFF"/>
        </w:rPr>
        <w:t>for</w:t>
      </w:r>
      <w:proofErr w:type="spellEnd"/>
      <w:r w:rsidR="00AE257D" w:rsidRPr="00AE257D">
        <w:rPr>
          <w:rFonts w:ascii="Verdana" w:hAnsi="Verdana" w:cs="Arial"/>
          <w:sz w:val="22"/>
          <w:szCs w:val="22"/>
          <w:shd w:val="clear" w:color="auto" w:fill="FFFFFF"/>
        </w:rPr>
        <w:t xml:space="preserve"> </w:t>
      </w:r>
      <w:proofErr w:type="spellStart"/>
      <w:r w:rsidR="00AE257D" w:rsidRPr="00CD1132">
        <w:rPr>
          <w:rFonts w:ascii="Verdana" w:hAnsi="Verdana" w:cs="Arial"/>
          <w:sz w:val="22"/>
          <w:szCs w:val="22"/>
          <w:shd w:val="clear" w:color="auto" w:fill="FFFFFF"/>
        </w:rPr>
        <w:t>Research</w:t>
      </w:r>
      <w:proofErr w:type="spellEnd"/>
      <w:r w:rsidR="00AE257D" w:rsidRPr="00AE257D">
        <w:rPr>
          <w:rFonts w:ascii="Verdana" w:hAnsi="Verdana" w:cs="Arial"/>
          <w:sz w:val="22"/>
          <w:szCs w:val="22"/>
          <w:shd w:val="clear" w:color="auto" w:fill="FFFFFF"/>
        </w:rPr>
        <w:t xml:space="preserve"> </w:t>
      </w:r>
      <w:proofErr w:type="spellStart"/>
      <w:r w:rsidR="00AE257D" w:rsidRPr="00CD1132">
        <w:rPr>
          <w:rFonts w:ascii="Verdana" w:hAnsi="Verdana" w:cs="Arial"/>
          <w:sz w:val="22"/>
          <w:szCs w:val="22"/>
          <w:shd w:val="clear" w:color="auto" w:fill="FFFFFF"/>
        </w:rPr>
        <w:t>on</w:t>
      </w:r>
      <w:proofErr w:type="spellEnd"/>
      <w:r w:rsidR="00AE257D" w:rsidRPr="00AE257D">
        <w:rPr>
          <w:rFonts w:ascii="Verdana" w:hAnsi="Verdana" w:cs="Arial"/>
          <w:sz w:val="22"/>
          <w:szCs w:val="22"/>
          <w:shd w:val="clear" w:color="auto" w:fill="FFFFFF"/>
        </w:rPr>
        <w:t xml:space="preserve"> Cáncer</w:t>
      </w:r>
      <w:r w:rsidRPr="00617AE9">
        <w:rPr>
          <w:rFonts w:ascii="Verdana" w:hAnsi="Verdana" w:cs="Arial"/>
          <w:sz w:val="22"/>
          <w:szCs w:val="22"/>
          <w:shd w:val="clear" w:color="auto" w:fill="FFFFFF"/>
        </w:rPr>
        <w:t xml:space="preserve">, IARC) o con toxicidad aguda según los criterios del Sistema Globalmente Armonizado (categorías I y II), con el fin de que se informe al </w:t>
      </w:r>
      <w:r w:rsidRPr="00617AE9">
        <w:rPr>
          <w:rFonts w:ascii="Verdana" w:hAnsi="Verdana" w:cs="Arial"/>
          <w:sz w:val="22"/>
          <w:szCs w:val="22"/>
        </w:rPr>
        <w:t xml:space="preserve">personal encargado de la implementación del sistema de seguridad y salud en el trabajo para tomar </w:t>
      </w:r>
      <w:r w:rsidRPr="00617AE9">
        <w:rPr>
          <w:rFonts w:ascii="Verdana" w:hAnsi="Verdana" w:cs="Arial"/>
          <w:sz w:val="22"/>
          <w:szCs w:val="22"/>
          <w:shd w:val="clear" w:color="auto" w:fill="FFFFFF"/>
        </w:rPr>
        <w:t>acciones de prevención e intervención.</w:t>
      </w:r>
      <w:bookmarkStart w:id="17" w:name="_Toc73035935"/>
    </w:p>
    <w:p w14:paraId="2175FB23" w14:textId="77777777" w:rsidR="00D94A8F" w:rsidRPr="00617AE9" w:rsidRDefault="00D94A8F" w:rsidP="00AE257D">
      <w:pPr>
        <w:suppressAutoHyphens/>
        <w:autoSpaceDE w:val="0"/>
        <w:autoSpaceDN w:val="0"/>
        <w:adjustRightInd w:val="0"/>
        <w:spacing w:after="240" w:line="276" w:lineRule="auto"/>
        <w:jc w:val="both"/>
        <w:rPr>
          <w:rFonts w:ascii="Verdana" w:hAnsi="Verdana" w:cs="Arial"/>
          <w:b/>
          <w:i/>
          <w:sz w:val="22"/>
          <w:szCs w:val="22"/>
          <w:lang w:val="es" w:eastAsia="ar-SA"/>
        </w:rPr>
      </w:pPr>
      <w:r w:rsidRPr="00617AE9">
        <w:rPr>
          <w:rFonts w:ascii="Verdana" w:hAnsi="Verdana" w:cs="Arial"/>
          <w:b/>
          <w:sz w:val="22"/>
          <w:szCs w:val="22"/>
          <w:lang w:val="es" w:eastAsia="ar-SA"/>
        </w:rPr>
        <w:t>6.3. Almacenamiento</w:t>
      </w:r>
      <w:bookmarkEnd w:id="17"/>
      <w:r w:rsidRPr="00617AE9">
        <w:rPr>
          <w:rFonts w:ascii="Verdana" w:hAnsi="Verdana" w:cs="Arial"/>
          <w:b/>
          <w:sz w:val="22"/>
          <w:szCs w:val="22"/>
          <w:lang w:val="es" w:eastAsia="ar-SA"/>
        </w:rPr>
        <w:t xml:space="preserve"> </w:t>
      </w:r>
    </w:p>
    <w:p w14:paraId="41BACC59" w14:textId="77777777" w:rsidR="00D94A8F" w:rsidRPr="00617AE9" w:rsidRDefault="00D94A8F" w:rsidP="00AE257D">
      <w:pPr>
        <w:numPr>
          <w:ilvl w:val="0"/>
          <w:numId w:val="18"/>
        </w:numPr>
        <w:suppressAutoHyphens/>
        <w:autoSpaceDN w:val="0"/>
        <w:spacing w:after="240" w:line="276" w:lineRule="auto"/>
        <w:ind w:left="284" w:hanging="284"/>
        <w:jc w:val="both"/>
        <w:textAlignment w:val="baseline"/>
        <w:rPr>
          <w:rFonts w:ascii="Verdana" w:hAnsi="Verdana" w:cs="Arial"/>
          <w:sz w:val="22"/>
          <w:szCs w:val="22"/>
        </w:rPr>
      </w:pPr>
      <w:r w:rsidRPr="00617AE9">
        <w:rPr>
          <w:rFonts w:ascii="Verdana" w:hAnsi="Verdana" w:cs="Arial"/>
          <w:sz w:val="22"/>
          <w:szCs w:val="22"/>
        </w:rPr>
        <w:t>Revisar las hojas de seguridad de las sustancias y comprobar la clase de peligrosidad de la sustancia química y las incompatibilidades, con el fin de definir el lugar de almacenamiento según su clase de peligrosidad.</w:t>
      </w:r>
    </w:p>
    <w:p w14:paraId="10A67285" w14:textId="77777777" w:rsidR="00D94A8F" w:rsidRPr="00617AE9" w:rsidRDefault="00D94A8F" w:rsidP="00AE257D">
      <w:pPr>
        <w:numPr>
          <w:ilvl w:val="0"/>
          <w:numId w:val="18"/>
        </w:numPr>
        <w:suppressAutoHyphens/>
        <w:autoSpaceDN w:val="0"/>
        <w:spacing w:after="240" w:line="276" w:lineRule="auto"/>
        <w:ind w:left="284" w:hanging="284"/>
        <w:jc w:val="both"/>
        <w:textAlignment w:val="baseline"/>
        <w:rPr>
          <w:rFonts w:ascii="Verdana" w:hAnsi="Verdana" w:cs="Arial"/>
          <w:sz w:val="22"/>
          <w:szCs w:val="22"/>
        </w:rPr>
      </w:pPr>
      <w:r w:rsidRPr="00617AE9">
        <w:rPr>
          <w:rFonts w:ascii="Verdana" w:hAnsi="Verdana" w:cs="Arial"/>
          <w:sz w:val="22"/>
          <w:szCs w:val="22"/>
        </w:rPr>
        <w:t>Ubicar la sustancia peligrosa en el lugar de almacenamiento destinado a su clase de peligrosidad, verificar que las condiciones sean las adecuadas, es decir un lugar demarcado, limpio, seco y en condiciones seguras según compatibilidad.</w:t>
      </w:r>
    </w:p>
    <w:p w14:paraId="51497678" w14:textId="77777777" w:rsidR="00D94A8F" w:rsidRPr="00617AE9" w:rsidRDefault="00D94A8F" w:rsidP="00AE257D">
      <w:pPr>
        <w:numPr>
          <w:ilvl w:val="0"/>
          <w:numId w:val="18"/>
        </w:numPr>
        <w:suppressAutoHyphens/>
        <w:autoSpaceDN w:val="0"/>
        <w:spacing w:after="240" w:line="276" w:lineRule="auto"/>
        <w:ind w:left="284" w:hanging="284"/>
        <w:jc w:val="both"/>
        <w:textAlignment w:val="baseline"/>
        <w:rPr>
          <w:rFonts w:ascii="Verdana" w:hAnsi="Verdana" w:cs="Arial"/>
          <w:sz w:val="22"/>
          <w:szCs w:val="22"/>
        </w:rPr>
      </w:pPr>
      <w:r w:rsidRPr="00617AE9">
        <w:rPr>
          <w:rFonts w:ascii="Verdana" w:hAnsi="Verdana" w:cs="Arial"/>
          <w:sz w:val="22"/>
          <w:szCs w:val="22"/>
        </w:rPr>
        <w:t>Evitar que sustancias de clases distintas tengan contacto (medida preventiva en caso de un potencial derrame). Nunca se deben ubicar en esta zona otro material que no corresponda al especificado para ésta, como ropa, papeles, madera, etc.</w:t>
      </w:r>
    </w:p>
    <w:p w14:paraId="21FF77E5" w14:textId="77777777" w:rsidR="00D94A8F" w:rsidRPr="00617AE9" w:rsidRDefault="00D94A8F" w:rsidP="00AE257D">
      <w:pPr>
        <w:numPr>
          <w:ilvl w:val="0"/>
          <w:numId w:val="18"/>
        </w:numPr>
        <w:suppressAutoHyphens/>
        <w:autoSpaceDN w:val="0"/>
        <w:spacing w:after="240" w:line="276" w:lineRule="auto"/>
        <w:ind w:left="284" w:hanging="284"/>
        <w:jc w:val="both"/>
        <w:textAlignment w:val="baseline"/>
        <w:rPr>
          <w:rFonts w:ascii="Verdana" w:hAnsi="Verdana" w:cs="Arial"/>
          <w:sz w:val="22"/>
          <w:szCs w:val="22"/>
        </w:rPr>
      </w:pPr>
      <w:r w:rsidRPr="00617AE9">
        <w:rPr>
          <w:rFonts w:ascii="Verdana" w:hAnsi="Verdana" w:cs="Arial"/>
          <w:sz w:val="22"/>
          <w:szCs w:val="22"/>
        </w:rPr>
        <w:t>Evitar disponer los envases apilados uno encima del otro, a menos que las características de los envases permita un almacenamiento seguro en pilas. En el caso de almacenar en pilas la altura de éstas debe ser inferior a 1 metro.</w:t>
      </w:r>
    </w:p>
    <w:p w14:paraId="0D9DF9A3" w14:textId="77777777" w:rsidR="00D94A8F" w:rsidRPr="00617AE9" w:rsidRDefault="00D94A8F" w:rsidP="00AE257D">
      <w:pPr>
        <w:numPr>
          <w:ilvl w:val="0"/>
          <w:numId w:val="18"/>
        </w:numPr>
        <w:suppressAutoHyphens/>
        <w:autoSpaceDN w:val="0"/>
        <w:spacing w:after="240" w:line="276" w:lineRule="auto"/>
        <w:ind w:left="284" w:hanging="284"/>
        <w:jc w:val="both"/>
        <w:textAlignment w:val="baseline"/>
        <w:rPr>
          <w:rFonts w:ascii="Verdana" w:hAnsi="Verdana" w:cs="Arial"/>
          <w:sz w:val="22"/>
          <w:szCs w:val="22"/>
        </w:rPr>
      </w:pPr>
      <w:r w:rsidRPr="00617AE9">
        <w:rPr>
          <w:rFonts w:ascii="Verdana" w:hAnsi="Verdana" w:cs="Arial"/>
          <w:sz w:val="22"/>
          <w:szCs w:val="22"/>
        </w:rPr>
        <w:t xml:space="preserve">Si se producen abolladuras o fisuras de los envases, recurrir a las hojas de seguridad y tomar las medidas de seguridad correspondientes. </w:t>
      </w:r>
    </w:p>
    <w:p w14:paraId="15B9DC86" w14:textId="77777777" w:rsidR="00D94A8F" w:rsidRPr="00617AE9" w:rsidRDefault="00D94A8F" w:rsidP="00AE257D">
      <w:pPr>
        <w:pStyle w:val="Ttulo2"/>
        <w:spacing w:after="240"/>
        <w:rPr>
          <w:rFonts w:ascii="Verdana" w:hAnsi="Verdana" w:cs="Arial"/>
          <w:b/>
          <w:i/>
          <w:color w:val="auto"/>
          <w:sz w:val="22"/>
          <w:szCs w:val="22"/>
          <w:lang w:val="es" w:eastAsia="ar-SA"/>
        </w:rPr>
      </w:pPr>
      <w:bookmarkStart w:id="18" w:name="_Toc73035936"/>
      <w:r w:rsidRPr="00617AE9">
        <w:rPr>
          <w:rFonts w:ascii="Verdana" w:hAnsi="Verdana" w:cs="Arial"/>
          <w:b/>
          <w:color w:val="auto"/>
          <w:sz w:val="22"/>
          <w:szCs w:val="22"/>
          <w:lang w:val="es" w:eastAsia="ar-SA"/>
        </w:rPr>
        <w:t>6.4. Manipulación de Sustancias Peligrosas</w:t>
      </w:r>
      <w:bookmarkEnd w:id="18"/>
    </w:p>
    <w:p w14:paraId="4010682B" w14:textId="77777777" w:rsidR="00D94A8F" w:rsidRPr="00617AE9" w:rsidRDefault="00D94A8F" w:rsidP="00AE257D">
      <w:pPr>
        <w:numPr>
          <w:ilvl w:val="0"/>
          <w:numId w:val="21"/>
        </w:numPr>
        <w:suppressAutoHyphens/>
        <w:autoSpaceDN w:val="0"/>
        <w:spacing w:after="240" w:line="276" w:lineRule="auto"/>
        <w:ind w:left="284" w:hanging="284"/>
        <w:jc w:val="both"/>
        <w:textAlignment w:val="baseline"/>
        <w:rPr>
          <w:rFonts w:ascii="Verdana" w:hAnsi="Verdana" w:cs="Arial"/>
          <w:sz w:val="22"/>
          <w:szCs w:val="22"/>
        </w:rPr>
      </w:pPr>
      <w:r w:rsidRPr="00617AE9">
        <w:rPr>
          <w:rFonts w:ascii="Verdana" w:hAnsi="Verdana" w:cs="Arial"/>
          <w:sz w:val="22"/>
          <w:szCs w:val="22"/>
        </w:rPr>
        <w:t>Al manipular cualquier sustancia en la bodega, se debe utilizar todos los Elementos de Protección Personal que indica la hoja de seguridad.</w:t>
      </w:r>
    </w:p>
    <w:p w14:paraId="4EE2838A" w14:textId="77777777" w:rsidR="00D94A8F" w:rsidRPr="00617AE9" w:rsidRDefault="00D94A8F" w:rsidP="00AE257D">
      <w:pPr>
        <w:numPr>
          <w:ilvl w:val="0"/>
          <w:numId w:val="21"/>
        </w:numPr>
        <w:suppressAutoHyphens/>
        <w:autoSpaceDN w:val="0"/>
        <w:spacing w:after="240" w:line="276" w:lineRule="auto"/>
        <w:ind w:left="284" w:hanging="284"/>
        <w:jc w:val="both"/>
        <w:textAlignment w:val="baseline"/>
        <w:rPr>
          <w:rFonts w:ascii="Verdana" w:hAnsi="Verdana" w:cs="Arial"/>
          <w:sz w:val="22"/>
          <w:szCs w:val="22"/>
        </w:rPr>
      </w:pPr>
      <w:r w:rsidRPr="00617AE9">
        <w:rPr>
          <w:rFonts w:ascii="Verdana" w:hAnsi="Verdana" w:cs="Arial"/>
          <w:sz w:val="22"/>
          <w:szCs w:val="22"/>
        </w:rPr>
        <w:t>Todas las sustancias deben ser manipuladas sólo por el encargado de la bodega o personal autorizado.</w:t>
      </w:r>
    </w:p>
    <w:p w14:paraId="58110718" w14:textId="77777777" w:rsidR="00D94A8F" w:rsidRPr="00617AE9" w:rsidRDefault="00D94A8F" w:rsidP="00AE257D">
      <w:pPr>
        <w:numPr>
          <w:ilvl w:val="0"/>
          <w:numId w:val="21"/>
        </w:numPr>
        <w:suppressAutoHyphens/>
        <w:autoSpaceDN w:val="0"/>
        <w:spacing w:after="240" w:line="276" w:lineRule="auto"/>
        <w:ind w:left="284" w:hanging="284"/>
        <w:jc w:val="both"/>
        <w:textAlignment w:val="baseline"/>
        <w:rPr>
          <w:rFonts w:ascii="Verdana" w:hAnsi="Verdana" w:cs="Arial"/>
          <w:sz w:val="22"/>
          <w:szCs w:val="22"/>
        </w:rPr>
      </w:pPr>
      <w:r w:rsidRPr="00617AE9">
        <w:rPr>
          <w:rFonts w:ascii="Verdana" w:hAnsi="Verdana" w:cs="Arial"/>
          <w:sz w:val="22"/>
          <w:szCs w:val="22"/>
        </w:rPr>
        <w:t xml:space="preserve">La manipulación de las sustancias se debe realizar conforme a las recomendaciones que indica la hoja de seguridad. Para ello se debe revisar la </w:t>
      </w:r>
      <w:r w:rsidRPr="00617AE9">
        <w:rPr>
          <w:rFonts w:ascii="Verdana" w:hAnsi="Verdana" w:cs="Arial"/>
          <w:sz w:val="22"/>
          <w:szCs w:val="22"/>
        </w:rPr>
        <w:lastRenderedPageBreak/>
        <w:t>hoja de seguridad y tomar atención a las recomendaciones de seguridad que entrega el proveedor para su manipulación.</w:t>
      </w:r>
    </w:p>
    <w:p w14:paraId="524EE016" w14:textId="77777777" w:rsidR="00D94A8F" w:rsidRPr="00617AE9" w:rsidRDefault="00D94A8F" w:rsidP="00AE257D">
      <w:pPr>
        <w:numPr>
          <w:ilvl w:val="0"/>
          <w:numId w:val="21"/>
        </w:numPr>
        <w:suppressAutoHyphens/>
        <w:autoSpaceDN w:val="0"/>
        <w:spacing w:after="240" w:line="276" w:lineRule="auto"/>
        <w:ind w:left="284" w:hanging="284"/>
        <w:jc w:val="both"/>
        <w:textAlignment w:val="baseline"/>
        <w:rPr>
          <w:rFonts w:ascii="Verdana" w:hAnsi="Verdana" w:cs="Arial"/>
          <w:sz w:val="22"/>
          <w:szCs w:val="22"/>
        </w:rPr>
      </w:pPr>
      <w:r w:rsidRPr="00617AE9">
        <w:rPr>
          <w:rFonts w:ascii="Verdana" w:hAnsi="Verdana" w:cs="Arial"/>
          <w:sz w:val="22"/>
          <w:szCs w:val="22"/>
        </w:rPr>
        <w:t>Se deben usar las sustancias en la medida justa, que el proveedor indica en las capacitaciones a su personal.</w:t>
      </w:r>
    </w:p>
    <w:p w14:paraId="504094C6" w14:textId="77777777" w:rsidR="00D94A8F" w:rsidRPr="00617AE9" w:rsidRDefault="00D94A8F" w:rsidP="00AE257D">
      <w:pPr>
        <w:numPr>
          <w:ilvl w:val="0"/>
          <w:numId w:val="21"/>
        </w:numPr>
        <w:suppressAutoHyphens/>
        <w:autoSpaceDN w:val="0"/>
        <w:spacing w:after="240" w:line="276" w:lineRule="auto"/>
        <w:ind w:left="284" w:hanging="284"/>
        <w:jc w:val="both"/>
        <w:textAlignment w:val="baseline"/>
        <w:rPr>
          <w:rFonts w:ascii="Verdana" w:hAnsi="Verdana" w:cs="Arial"/>
          <w:sz w:val="22"/>
          <w:szCs w:val="22"/>
        </w:rPr>
      </w:pPr>
      <w:r w:rsidRPr="00617AE9">
        <w:rPr>
          <w:rFonts w:ascii="Verdana" w:hAnsi="Verdana" w:cs="Arial"/>
          <w:sz w:val="22"/>
          <w:szCs w:val="22"/>
        </w:rPr>
        <w:t>Si se produce derrame de sustancia peligrosa, identificar la sustancia y proceder de acuerdo a las “</w:t>
      </w:r>
      <w:r w:rsidRPr="00617AE9">
        <w:rPr>
          <w:rFonts w:ascii="Verdana" w:hAnsi="Verdana" w:cs="Arial"/>
          <w:bCs/>
          <w:sz w:val="22"/>
          <w:szCs w:val="22"/>
        </w:rPr>
        <w:t>Medidas En Caso De Fuga O Derrame Accidental” (Numeral 6 de la Hoja de seguridad</w:t>
      </w:r>
      <w:r w:rsidRPr="00617AE9">
        <w:rPr>
          <w:rFonts w:ascii="Verdana" w:hAnsi="Verdana" w:cs="Arial"/>
          <w:sz w:val="22"/>
          <w:szCs w:val="22"/>
        </w:rPr>
        <w:t>). En el caso de derrames de mayor magnitud en donde el riesgo es muy elevado para el personal encargado, se debe actuar de acuerdo a lo indicado en el Plan de Emergencias de la Entidad.</w:t>
      </w:r>
    </w:p>
    <w:p w14:paraId="689FF637" w14:textId="77777777" w:rsidR="00D94A8F" w:rsidRPr="00617AE9" w:rsidRDefault="00D94A8F" w:rsidP="00AE257D">
      <w:pPr>
        <w:numPr>
          <w:ilvl w:val="0"/>
          <w:numId w:val="21"/>
        </w:numPr>
        <w:suppressAutoHyphens/>
        <w:autoSpaceDN w:val="0"/>
        <w:spacing w:after="240" w:line="276" w:lineRule="auto"/>
        <w:ind w:left="284" w:hanging="284"/>
        <w:jc w:val="both"/>
        <w:textAlignment w:val="baseline"/>
        <w:rPr>
          <w:rFonts w:ascii="Verdana" w:hAnsi="Verdana" w:cs="Arial"/>
          <w:sz w:val="22"/>
          <w:szCs w:val="22"/>
        </w:rPr>
      </w:pPr>
      <w:r w:rsidRPr="00617AE9">
        <w:rPr>
          <w:rFonts w:ascii="Verdana" w:hAnsi="Verdana" w:cs="Arial"/>
          <w:sz w:val="22"/>
          <w:szCs w:val="22"/>
        </w:rPr>
        <w:t>Para el transporte de sustancias peligrosas se debe sostener firmemente alrededor del cuerpo del envase con ambas manos o utilizar el carro para transportar.</w:t>
      </w:r>
    </w:p>
    <w:p w14:paraId="5DCBB00F" w14:textId="77777777" w:rsidR="00D94A8F" w:rsidRPr="00617AE9" w:rsidRDefault="00D94A8F" w:rsidP="00AE257D">
      <w:pPr>
        <w:pStyle w:val="Ttulo2"/>
        <w:spacing w:after="240"/>
        <w:rPr>
          <w:rFonts w:ascii="Verdana" w:hAnsi="Verdana" w:cs="Arial"/>
          <w:b/>
          <w:i/>
          <w:color w:val="auto"/>
          <w:sz w:val="22"/>
          <w:szCs w:val="22"/>
          <w:lang w:val="es" w:eastAsia="ar-SA"/>
        </w:rPr>
      </w:pPr>
      <w:bookmarkStart w:id="19" w:name="_Toc73035937"/>
      <w:r w:rsidRPr="00617AE9">
        <w:rPr>
          <w:rFonts w:ascii="Verdana" w:hAnsi="Verdana" w:cs="Arial"/>
          <w:b/>
          <w:color w:val="auto"/>
          <w:sz w:val="22"/>
          <w:szCs w:val="22"/>
          <w:lang w:val="es" w:eastAsia="ar-SA"/>
        </w:rPr>
        <w:t>6.5. Disposición final de los envases de las Sustancias</w:t>
      </w:r>
      <w:bookmarkEnd w:id="19"/>
      <w:r w:rsidRPr="00617AE9">
        <w:rPr>
          <w:rFonts w:ascii="Verdana" w:hAnsi="Verdana" w:cs="Arial"/>
          <w:b/>
          <w:color w:val="auto"/>
          <w:sz w:val="22"/>
          <w:szCs w:val="22"/>
          <w:lang w:val="es" w:eastAsia="ar-SA"/>
        </w:rPr>
        <w:t xml:space="preserve"> </w:t>
      </w:r>
    </w:p>
    <w:p w14:paraId="06DBC2E2" w14:textId="77777777" w:rsidR="00D94A8F" w:rsidRPr="00617AE9" w:rsidRDefault="00D94A8F" w:rsidP="00AE257D">
      <w:pPr>
        <w:numPr>
          <w:ilvl w:val="0"/>
          <w:numId w:val="21"/>
        </w:numPr>
        <w:suppressAutoHyphens/>
        <w:autoSpaceDN w:val="0"/>
        <w:spacing w:after="240" w:line="276" w:lineRule="auto"/>
        <w:ind w:left="284" w:hanging="284"/>
        <w:jc w:val="both"/>
        <w:textAlignment w:val="baseline"/>
        <w:rPr>
          <w:rFonts w:ascii="Verdana" w:hAnsi="Verdana" w:cs="Arial"/>
          <w:sz w:val="22"/>
          <w:szCs w:val="22"/>
        </w:rPr>
      </w:pPr>
      <w:r w:rsidRPr="00617AE9">
        <w:rPr>
          <w:rFonts w:ascii="Verdana" w:hAnsi="Verdana" w:cs="Arial"/>
          <w:sz w:val="22"/>
          <w:szCs w:val="22"/>
        </w:rPr>
        <w:t>Las sustancias que sobrepasan la fecha de vencimiento deben ser dispuestas como residuos obsoletos.</w:t>
      </w:r>
    </w:p>
    <w:p w14:paraId="40B29CF5" w14:textId="77777777" w:rsidR="00D94A8F" w:rsidRPr="00AE257D" w:rsidRDefault="00D94A8F" w:rsidP="00AE257D">
      <w:pPr>
        <w:numPr>
          <w:ilvl w:val="0"/>
          <w:numId w:val="21"/>
        </w:numPr>
        <w:suppressAutoHyphens/>
        <w:autoSpaceDN w:val="0"/>
        <w:spacing w:after="240" w:line="276" w:lineRule="auto"/>
        <w:ind w:left="284" w:hanging="284"/>
        <w:jc w:val="both"/>
        <w:textAlignment w:val="baseline"/>
        <w:rPr>
          <w:rFonts w:ascii="Verdana" w:hAnsi="Verdana" w:cs="Arial"/>
          <w:sz w:val="22"/>
          <w:szCs w:val="22"/>
        </w:rPr>
      </w:pPr>
      <w:r w:rsidRPr="00617AE9">
        <w:rPr>
          <w:rFonts w:ascii="Verdana" w:hAnsi="Verdana" w:cs="Arial"/>
          <w:sz w:val="22"/>
          <w:szCs w:val="22"/>
        </w:rPr>
        <w:t xml:space="preserve">Toda sustancia peligrosa que se deba disponer, así como los envases vacíos de sustancias de aseo, deberán ser retirada y eliminada cumpliendo lo establecido en el Plan de Manejo de Residuos a cargo del grupo de direccionamiento </w:t>
      </w:r>
      <w:r w:rsidRPr="00AE257D">
        <w:rPr>
          <w:rFonts w:ascii="Verdana" w:hAnsi="Verdana" w:cs="Arial"/>
          <w:sz w:val="22"/>
          <w:szCs w:val="22"/>
        </w:rPr>
        <w:t>estratégico.</w:t>
      </w:r>
    </w:p>
    <w:p w14:paraId="66EB25A3" w14:textId="77777777" w:rsidR="00D94A8F" w:rsidRPr="00617AE9" w:rsidRDefault="00D94A8F" w:rsidP="00AE257D">
      <w:pPr>
        <w:spacing w:after="240" w:line="276" w:lineRule="auto"/>
        <w:jc w:val="both"/>
        <w:rPr>
          <w:rFonts w:ascii="Verdana" w:hAnsi="Verdana" w:cs="Arial"/>
          <w:sz w:val="22"/>
          <w:szCs w:val="22"/>
        </w:rPr>
      </w:pPr>
      <w:r w:rsidRPr="00617AE9">
        <w:rPr>
          <w:rFonts w:ascii="Verdana" w:hAnsi="Verdana" w:cs="Arial"/>
          <w:sz w:val="22"/>
          <w:szCs w:val="22"/>
        </w:rPr>
        <w:t>La Supervigilancia está ubicada en edificios inteligentes los cuales cuentan con programas de saneamiento básico y hacen parte integral de este documento, por lo tanto, las disposiciones finales de los residuos de las oficinas son entregadas a la administración del Edificio para su disposición final.</w:t>
      </w:r>
    </w:p>
    <w:p w14:paraId="660FC371" w14:textId="77777777" w:rsidR="00D94A8F" w:rsidRPr="00617AE9" w:rsidRDefault="00D94A8F" w:rsidP="00AE257D">
      <w:pPr>
        <w:keepNext/>
        <w:spacing w:before="240" w:after="240"/>
        <w:outlineLvl w:val="1"/>
        <w:rPr>
          <w:rFonts w:ascii="Verdana" w:eastAsia="Times New Roman" w:hAnsi="Verdana" w:cs="Arial"/>
          <w:b/>
          <w:bCs/>
          <w:i/>
          <w:iCs/>
          <w:sz w:val="22"/>
          <w:szCs w:val="22"/>
        </w:rPr>
      </w:pPr>
      <w:bookmarkStart w:id="20" w:name="_Toc73035938"/>
      <w:r w:rsidRPr="00617AE9">
        <w:rPr>
          <w:rFonts w:ascii="Verdana" w:eastAsia="Times New Roman" w:hAnsi="Verdana" w:cs="Arial"/>
          <w:b/>
          <w:bCs/>
          <w:i/>
          <w:iCs/>
          <w:sz w:val="22"/>
          <w:szCs w:val="22"/>
        </w:rPr>
        <w:t>Anexos</w:t>
      </w:r>
      <w:bookmarkEnd w:id="20"/>
    </w:p>
    <w:p w14:paraId="254F4540" w14:textId="77777777" w:rsidR="00D94A8F" w:rsidRPr="00617AE9" w:rsidRDefault="00D94A8F" w:rsidP="00AE257D">
      <w:pPr>
        <w:numPr>
          <w:ilvl w:val="0"/>
          <w:numId w:val="23"/>
        </w:numPr>
        <w:suppressAutoHyphens/>
        <w:autoSpaceDN w:val="0"/>
        <w:spacing w:after="240" w:line="276" w:lineRule="auto"/>
        <w:ind w:left="284" w:hanging="284"/>
        <w:jc w:val="both"/>
        <w:textAlignment w:val="baseline"/>
        <w:rPr>
          <w:rFonts w:ascii="Verdana" w:hAnsi="Verdana" w:cs="Arial"/>
          <w:sz w:val="22"/>
          <w:szCs w:val="22"/>
        </w:rPr>
      </w:pPr>
      <w:r w:rsidRPr="00617AE9">
        <w:rPr>
          <w:rFonts w:ascii="Verdana" w:hAnsi="Verdana" w:cs="Arial"/>
          <w:sz w:val="22"/>
          <w:szCs w:val="22"/>
        </w:rPr>
        <w:t>Programa de saneamiento torre 3 y 4</w:t>
      </w:r>
    </w:p>
    <w:p w14:paraId="5F768CD2" w14:textId="0FC9A987" w:rsidR="001359AE" w:rsidRPr="00617AE9" w:rsidRDefault="00D94A8F" w:rsidP="00AE257D">
      <w:pPr>
        <w:numPr>
          <w:ilvl w:val="0"/>
          <w:numId w:val="23"/>
        </w:numPr>
        <w:suppressAutoHyphens/>
        <w:autoSpaceDN w:val="0"/>
        <w:spacing w:after="240" w:line="276" w:lineRule="auto"/>
        <w:ind w:left="284" w:hanging="284"/>
        <w:jc w:val="both"/>
        <w:textAlignment w:val="baseline"/>
        <w:rPr>
          <w:rFonts w:ascii="Verdana" w:hAnsi="Verdana"/>
          <w:sz w:val="22"/>
          <w:szCs w:val="22"/>
        </w:rPr>
      </w:pPr>
      <w:r w:rsidRPr="00617AE9">
        <w:rPr>
          <w:rFonts w:ascii="Verdana" w:hAnsi="Verdana" w:cs="Arial"/>
          <w:sz w:val="22"/>
          <w:szCs w:val="22"/>
        </w:rPr>
        <w:t>Política de manejo ambiental Torre 7 y 8</w:t>
      </w:r>
    </w:p>
    <w:sectPr w:rsidR="001359AE" w:rsidRPr="00617AE9" w:rsidSect="00617AE9">
      <w:headerReference w:type="default" r:id="rId10"/>
      <w:footerReference w:type="default" r:id="rId11"/>
      <w:pgSz w:w="12240" w:h="20160" w:code="5"/>
      <w:pgMar w:top="1701"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775B1" w14:textId="77777777" w:rsidR="0071169A" w:rsidRDefault="0071169A" w:rsidP="008B51F5">
      <w:r>
        <w:separator/>
      </w:r>
    </w:p>
  </w:endnote>
  <w:endnote w:type="continuationSeparator" w:id="0">
    <w:p w14:paraId="76D2D19B" w14:textId="77777777" w:rsidR="0071169A" w:rsidRDefault="0071169A"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52B5C796"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CD1132" w:rsidRPr="00CD1132">
      <w:rPr>
        <w:rFonts w:ascii="Montserrat" w:hAnsi="Montserrat"/>
        <w:noProof/>
        <w:sz w:val="14"/>
        <w:lang w:val="es-ES"/>
      </w:rPr>
      <w:t>11</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CD1132" w:rsidRPr="00CD1132">
      <w:rPr>
        <w:rFonts w:ascii="Montserrat" w:hAnsi="Montserrat"/>
        <w:noProof/>
        <w:sz w:val="14"/>
        <w:lang w:val="es-ES"/>
      </w:rPr>
      <w:t>11</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444753C">
              <wp:simplePos x="0" y="0"/>
              <wp:positionH relativeFrom="margin">
                <wp:posOffset>4377690</wp:posOffset>
              </wp:positionH>
              <wp:positionV relativeFrom="paragraph">
                <wp:posOffset>6985</wp:posOffset>
              </wp:positionV>
              <wp:extent cx="1714500" cy="42862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428625"/>
                      </a:xfrm>
                      <a:prstGeom prst="rect">
                        <a:avLst/>
                      </a:prstGeom>
                      <a:solidFill>
                        <a:srgbClr val="FFFFFF"/>
                      </a:solidFill>
                      <a:ln>
                        <a:noFill/>
                        <a:prstDash/>
                      </a:ln>
                    </wps:spPr>
                    <wps:txbx>
                      <w:txbxContent>
                        <w:p w14:paraId="460A0BAE" w14:textId="3B65B194" w:rsidR="00392618" w:rsidRPr="00617AE9" w:rsidRDefault="00392618" w:rsidP="00392618">
                          <w:pPr>
                            <w:pStyle w:val="NormalWeb"/>
                            <w:rPr>
                              <w:rFonts w:ascii="Verdana" w:hAnsi="Verdana" w:cs="Arial"/>
                              <w:b/>
                              <w:bCs/>
                              <w:color w:val="595959" w:themeColor="text1" w:themeTint="A6"/>
                              <w:kern w:val="24"/>
                              <w:sz w:val="14"/>
                              <w:szCs w:val="14"/>
                            </w:rPr>
                          </w:pPr>
                          <w:r w:rsidRPr="00617AE9">
                            <w:rPr>
                              <w:rFonts w:ascii="Verdana" w:hAnsi="Verdana" w:cs="Arial"/>
                              <w:b/>
                              <w:bCs/>
                              <w:color w:val="595959" w:themeColor="text1" w:themeTint="A6"/>
                              <w:kern w:val="24"/>
                              <w:sz w:val="14"/>
                              <w:szCs w:val="14"/>
                            </w:rPr>
                            <w:t xml:space="preserve">Código: </w:t>
                          </w:r>
                          <w:r w:rsidR="00D94A8F" w:rsidRPr="00617AE9">
                            <w:rPr>
                              <w:rFonts w:ascii="Verdana" w:hAnsi="Verdana" w:cs="Arial"/>
                              <w:b/>
                              <w:bCs/>
                              <w:color w:val="595959" w:themeColor="text1" w:themeTint="A6"/>
                              <w:kern w:val="24"/>
                              <w:sz w:val="14"/>
                              <w:szCs w:val="14"/>
                            </w:rPr>
                            <w:t>INS-GTH-310-002</w:t>
                          </w:r>
                        </w:p>
                        <w:p w14:paraId="0A6EE982" w14:textId="666E97AD" w:rsidR="00392618" w:rsidRPr="00617AE9" w:rsidRDefault="00635A9D" w:rsidP="00392618">
                          <w:pPr>
                            <w:pStyle w:val="NormalWeb"/>
                            <w:rPr>
                              <w:rFonts w:ascii="Verdana" w:hAnsi="Verdana" w:cs="Arial"/>
                              <w:bCs/>
                              <w:color w:val="595959" w:themeColor="text1" w:themeTint="A6"/>
                              <w:kern w:val="24"/>
                              <w:sz w:val="14"/>
                              <w:szCs w:val="14"/>
                            </w:rPr>
                          </w:pPr>
                          <w:r w:rsidRPr="00AE257D">
                            <w:rPr>
                              <w:rFonts w:ascii="Verdana" w:hAnsi="Verdana" w:cs="Arial"/>
                              <w:b/>
                              <w:bCs/>
                              <w:color w:val="595959" w:themeColor="text1" w:themeTint="A6"/>
                              <w:kern w:val="24"/>
                              <w:sz w:val="14"/>
                              <w:szCs w:val="14"/>
                            </w:rPr>
                            <w:t>Fecha aprobación:</w:t>
                          </w:r>
                          <w:r w:rsidRPr="00617AE9">
                            <w:rPr>
                              <w:rFonts w:ascii="Verdana" w:hAnsi="Verdana" w:cs="Arial"/>
                              <w:bCs/>
                              <w:color w:val="595959" w:themeColor="text1" w:themeTint="A6"/>
                              <w:kern w:val="24"/>
                              <w:sz w:val="14"/>
                              <w:szCs w:val="14"/>
                            </w:rPr>
                            <w:t xml:space="preserve"> </w:t>
                          </w:r>
                          <w:r w:rsidR="00AE257D">
                            <w:rPr>
                              <w:rFonts w:ascii="Verdana" w:hAnsi="Verdana" w:cs="Arial"/>
                              <w:bCs/>
                              <w:color w:val="595959" w:themeColor="text1" w:themeTint="A6"/>
                              <w:kern w:val="24"/>
                              <w:sz w:val="14"/>
                              <w:szCs w:val="14"/>
                            </w:rPr>
                            <w:t>27</w:t>
                          </w:r>
                          <w:r w:rsidR="00D94A8F" w:rsidRPr="00617AE9">
                            <w:rPr>
                              <w:rFonts w:ascii="Verdana" w:hAnsi="Verdana" w:cs="Arial"/>
                              <w:bCs/>
                              <w:color w:val="595959" w:themeColor="text1" w:themeTint="A6"/>
                              <w:kern w:val="24"/>
                              <w:sz w:val="14"/>
                              <w:szCs w:val="14"/>
                            </w:rPr>
                            <w:t>/09/2024</w:t>
                          </w:r>
                        </w:p>
                        <w:p w14:paraId="5C00C4CA" w14:textId="4CD24829" w:rsidR="00392618" w:rsidRPr="00617AE9" w:rsidRDefault="00D94A8F" w:rsidP="00392618">
                          <w:pPr>
                            <w:pStyle w:val="NormalWeb"/>
                            <w:rPr>
                              <w:rFonts w:ascii="Verdana" w:hAnsi="Verdana" w:cs="Arial"/>
                              <w:bCs/>
                              <w:color w:val="595959" w:themeColor="text1" w:themeTint="A6"/>
                              <w:kern w:val="24"/>
                              <w:sz w:val="14"/>
                              <w:szCs w:val="14"/>
                            </w:rPr>
                          </w:pPr>
                          <w:r w:rsidRPr="00AE257D">
                            <w:rPr>
                              <w:rFonts w:ascii="Verdana" w:hAnsi="Verdana" w:cs="Arial"/>
                              <w:b/>
                              <w:bCs/>
                              <w:color w:val="595959" w:themeColor="text1" w:themeTint="A6"/>
                              <w:kern w:val="24"/>
                              <w:sz w:val="14"/>
                              <w:szCs w:val="14"/>
                            </w:rPr>
                            <w:t>Versión:</w:t>
                          </w:r>
                          <w:r w:rsidRPr="00617AE9">
                            <w:rPr>
                              <w:rFonts w:ascii="Verdana" w:hAnsi="Verdana" w:cs="Arial"/>
                              <w:bCs/>
                              <w:color w:val="595959" w:themeColor="text1" w:themeTint="A6"/>
                              <w:kern w:val="24"/>
                              <w:sz w:val="14"/>
                              <w:szCs w:val="14"/>
                            </w:rPr>
                            <w:t xml:space="preserve"> 04</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44.7pt;margin-top:.55pt;width:13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jNf+wEAAOEDAAAOAAAAZHJzL2Uyb0RvYy54bWysU8GO2jAQvVfqP1i+l0AEu0tEWLUgqkqo&#10;XYnuBwyOQ6w6Htc2JPTrO3ZYlm5vVXNwMpnn53lvxovHvtXsJJ1XaEo+GY05k0Zgpcyh5M/fNx8e&#10;OPMBTAUajSz5WXr+uHz/btHZQubYoK6kY0RifNHZkjch2CLLvGhkC36EVhpK1uhaCBS6Q1Y56Ii9&#10;1Vk+Ht9lHbrKOhTSe/q7HpJ8mfjrWorwra69DEyXnGoLaXVp3cc1Wy6gODiwjRKXMuAfqmhBGTr0&#10;SrWGAOzo1F9UrRIOPdZhJLDNsK6VkEkDqZmM36jZNWBl0kLmeHu1yf8/WvH19OSYqko+58xASy1a&#10;HaFyyCrJguwDsnk0qbO+IOzOEjr0n7CnZifB3m5R/PAEyW4wwwZP6GhKX7s2vkkuo43Uh/PVezqC&#10;ich2P5nOxpQSlJvmD3f5LJ6bve62zofPElsWP0ruqLepAjhtfRigL5B4mEetqo3SOgXusF9px05A&#10;c7BJz4X9D5g2EWwwbiNGKCLhGnwz0Md0UjkIi3pDv++TffmLS3uszmQS3QkqskH3i7OO5qvk/ucR&#10;nORMfzHUwPlkOo0DmYLp7D6nwN1m9rcZMIKoSh44Gz5XYRhimiILYWt2VkRLh/I/HgPWKnkSaxwq&#10;upROc5Rcvcx8HNTbOKFeb+byNwAAAP//AwBQSwMEFAAGAAgAAAAhAAGTc2zbAAAACAEAAA8AAABk&#10;cnMvZG93bnJldi54bWxMj8FOwzAQRO9I/IO1SNyo06qENMSpUKVeekCiUMrRjZc4aryOYqcNf8/m&#10;BMfRG82+Ldaja8UF+9B4UjCfJSCQKm8aqhV8vG8fMhAhajK69YQKfjDAury9KXRu/JXe8LKPteAR&#10;CrlWYGPscilDZdHpMPMdErNv3zsdOfa1NL2+8rhr5SJJUul0Q3zB6g43FqvzfnAKMDsMX69xaOiY&#10;Wnv+fNodk8NOqfu78eUZRMQx/pVh0md1KNnp5AcyQbQK0my15CqDOQjmq8cpnyaQgiwL+f+B8hcA&#10;AP//AwBQSwECLQAUAAYACAAAACEAtoM4kv4AAADhAQAAEwAAAAAAAAAAAAAAAAAAAAAAW0NvbnRl&#10;bnRfVHlwZXNdLnhtbFBLAQItABQABgAIAAAAIQA4/SH/1gAAAJQBAAALAAAAAAAAAAAAAAAAAC8B&#10;AABfcmVscy8ucmVsc1BLAQItABQABgAIAAAAIQC0ujNf+wEAAOEDAAAOAAAAAAAAAAAAAAAAAC4C&#10;AABkcnMvZTJvRG9jLnhtbFBLAQItABQABgAIAAAAIQABk3Ns2wAAAAgBAAAPAAAAAAAAAAAAAAAA&#10;AFUEAABkcnMvZG93bnJldi54bWxQSwUGAAAAAAQABADzAAAAXQUAAAAA&#10;" stroked="f">
              <v:path arrowok="t"/>
              <v:textbox>
                <w:txbxContent>
                  <w:p w14:paraId="460A0BAE" w14:textId="3B65B194" w:rsidR="00392618" w:rsidRPr="00617AE9" w:rsidRDefault="00392618" w:rsidP="00392618">
                    <w:pPr>
                      <w:pStyle w:val="NormalWeb"/>
                      <w:rPr>
                        <w:rFonts w:ascii="Verdana" w:hAnsi="Verdana" w:cs="Arial"/>
                        <w:b/>
                        <w:bCs/>
                        <w:color w:val="595959" w:themeColor="text1" w:themeTint="A6"/>
                        <w:kern w:val="24"/>
                        <w:sz w:val="14"/>
                        <w:szCs w:val="14"/>
                      </w:rPr>
                    </w:pPr>
                    <w:r w:rsidRPr="00617AE9">
                      <w:rPr>
                        <w:rFonts w:ascii="Verdana" w:hAnsi="Verdana" w:cs="Arial"/>
                        <w:b/>
                        <w:bCs/>
                        <w:color w:val="595959" w:themeColor="text1" w:themeTint="A6"/>
                        <w:kern w:val="24"/>
                        <w:sz w:val="14"/>
                        <w:szCs w:val="14"/>
                      </w:rPr>
                      <w:t xml:space="preserve">Código: </w:t>
                    </w:r>
                    <w:r w:rsidR="00D94A8F" w:rsidRPr="00617AE9">
                      <w:rPr>
                        <w:rFonts w:ascii="Verdana" w:hAnsi="Verdana" w:cs="Arial"/>
                        <w:b/>
                        <w:bCs/>
                        <w:color w:val="595959" w:themeColor="text1" w:themeTint="A6"/>
                        <w:kern w:val="24"/>
                        <w:sz w:val="14"/>
                        <w:szCs w:val="14"/>
                      </w:rPr>
                      <w:t>INS-GTH-310-002</w:t>
                    </w:r>
                  </w:p>
                  <w:p w14:paraId="0A6EE982" w14:textId="666E97AD" w:rsidR="00392618" w:rsidRPr="00617AE9" w:rsidRDefault="00635A9D" w:rsidP="00392618">
                    <w:pPr>
                      <w:pStyle w:val="NormalWeb"/>
                      <w:rPr>
                        <w:rFonts w:ascii="Verdana" w:hAnsi="Verdana" w:cs="Arial"/>
                        <w:bCs/>
                        <w:color w:val="595959" w:themeColor="text1" w:themeTint="A6"/>
                        <w:kern w:val="24"/>
                        <w:sz w:val="14"/>
                        <w:szCs w:val="14"/>
                      </w:rPr>
                    </w:pPr>
                    <w:r w:rsidRPr="00AE257D">
                      <w:rPr>
                        <w:rFonts w:ascii="Verdana" w:hAnsi="Verdana" w:cs="Arial"/>
                        <w:b/>
                        <w:bCs/>
                        <w:color w:val="595959" w:themeColor="text1" w:themeTint="A6"/>
                        <w:kern w:val="24"/>
                        <w:sz w:val="14"/>
                        <w:szCs w:val="14"/>
                      </w:rPr>
                      <w:t>Fecha aprobación:</w:t>
                    </w:r>
                    <w:r w:rsidRPr="00617AE9">
                      <w:rPr>
                        <w:rFonts w:ascii="Verdana" w:hAnsi="Verdana" w:cs="Arial"/>
                        <w:bCs/>
                        <w:color w:val="595959" w:themeColor="text1" w:themeTint="A6"/>
                        <w:kern w:val="24"/>
                        <w:sz w:val="14"/>
                        <w:szCs w:val="14"/>
                      </w:rPr>
                      <w:t xml:space="preserve"> </w:t>
                    </w:r>
                    <w:r w:rsidR="00AE257D">
                      <w:rPr>
                        <w:rFonts w:ascii="Verdana" w:hAnsi="Verdana" w:cs="Arial"/>
                        <w:bCs/>
                        <w:color w:val="595959" w:themeColor="text1" w:themeTint="A6"/>
                        <w:kern w:val="24"/>
                        <w:sz w:val="14"/>
                        <w:szCs w:val="14"/>
                      </w:rPr>
                      <w:t>27</w:t>
                    </w:r>
                    <w:r w:rsidR="00D94A8F" w:rsidRPr="00617AE9">
                      <w:rPr>
                        <w:rFonts w:ascii="Verdana" w:hAnsi="Verdana" w:cs="Arial"/>
                        <w:bCs/>
                        <w:color w:val="595959" w:themeColor="text1" w:themeTint="A6"/>
                        <w:kern w:val="24"/>
                        <w:sz w:val="14"/>
                        <w:szCs w:val="14"/>
                      </w:rPr>
                      <w:t>/09/2024</w:t>
                    </w:r>
                  </w:p>
                  <w:p w14:paraId="5C00C4CA" w14:textId="4CD24829" w:rsidR="00392618" w:rsidRPr="00617AE9" w:rsidRDefault="00D94A8F" w:rsidP="00392618">
                    <w:pPr>
                      <w:pStyle w:val="NormalWeb"/>
                      <w:rPr>
                        <w:rFonts w:ascii="Verdana" w:hAnsi="Verdana" w:cs="Arial"/>
                        <w:bCs/>
                        <w:color w:val="595959" w:themeColor="text1" w:themeTint="A6"/>
                        <w:kern w:val="24"/>
                        <w:sz w:val="14"/>
                        <w:szCs w:val="14"/>
                      </w:rPr>
                    </w:pPr>
                    <w:r w:rsidRPr="00AE257D">
                      <w:rPr>
                        <w:rFonts w:ascii="Verdana" w:hAnsi="Verdana" w:cs="Arial"/>
                        <w:b/>
                        <w:bCs/>
                        <w:color w:val="595959" w:themeColor="text1" w:themeTint="A6"/>
                        <w:kern w:val="24"/>
                        <w:sz w:val="14"/>
                        <w:szCs w:val="14"/>
                      </w:rPr>
                      <w:t>Versión:</w:t>
                    </w:r>
                    <w:r w:rsidRPr="00617AE9">
                      <w:rPr>
                        <w:rFonts w:ascii="Verdana" w:hAnsi="Verdana" w:cs="Arial"/>
                        <w:bCs/>
                        <w:color w:val="595959" w:themeColor="text1" w:themeTint="A6"/>
                        <w:kern w:val="24"/>
                        <w:sz w:val="14"/>
                        <w:szCs w:val="14"/>
                      </w:rPr>
                      <w:t xml:space="preserve"> 04</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E3D51" w14:textId="77777777" w:rsidR="0071169A" w:rsidRDefault="0071169A" w:rsidP="008B51F5">
      <w:r>
        <w:separator/>
      </w:r>
    </w:p>
  </w:footnote>
  <w:footnote w:type="continuationSeparator" w:id="0">
    <w:p w14:paraId="68DB3F4D" w14:textId="77777777" w:rsidR="0071169A" w:rsidRDefault="0071169A" w:rsidP="008B5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4236FC9E" w:rsidR="006D1FE4" w:rsidRDefault="004D062A"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5EE57542">
              <wp:simplePos x="0" y="0"/>
              <wp:positionH relativeFrom="page">
                <wp:posOffset>1343025</wp:posOffset>
              </wp:positionH>
              <wp:positionV relativeFrom="paragraph">
                <wp:posOffset>53340</wp:posOffset>
              </wp:positionV>
              <wp:extent cx="4981575" cy="673100"/>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4981575" cy="673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53ED76B5" w:rsidR="000F5FD1" w:rsidRPr="00617AE9" w:rsidRDefault="0071169A" w:rsidP="00D218F3">
                          <w:pPr>
                            <w:jc w:val="center"/>
                            <w:rPr>
                              <w:rFonts w:ascii="Verdana" w:hAnsi="Verdana"/>
                              <w:b/>
                              <w:sz w:val="22"/>
                              <w:szCs w:val="22"/>
                            </w:rPr>
                          </w:pPr>
                          <w:hyperlink r:id="rId2" w:history="1">
                            <w:r w:rsidR="00D94A8F" w:rsidRPr="00617AE9">
                              <w:rPr>
                                <w:rStyle w:val="span"/>
                                <w:rFonts w:ascii="Verdana" w:hAnsi="Verdana"/>
                                <w:b/>
                                <w:iCs/>
                                <w:sz w:val="22"/>
                                <w:szCs w:val="22"/>
                              </w:rPr>
                              <w:t>INSTRUCTIVO PARA EL MANEJO DE SUSTANCIAS QUÍMICAS DE ASEO Y DISPOSICIÓN FINAL DE LOS ENVASES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105.75pt;margin-top:4.2pt;width:392.25pt;height:5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avakQIAAJUFAAAOAAAAZHJzL2Uyb0RvYy54bWysVEtvGyEQvlfqf0Dc6/UzDyvryHWUqlKU&#10;RE2qnDELNiowFLB33V/fgV0/muaSqpfdgfnm9TEzV9eN0WQrfFBgSzro9SkRlkOl7Kqk359vP11Q&#10;EiKzFdNgRUl3ItDr2ccPV7WbiiGsQVfCE3Riw7R2JV3H6KZFEfhaGBZ64IRFpQRvWMSjXxWVZzV6&#10;N7oY9vtnRQ2+ch64CAFvb1olnWX/UgoeH6QMIhJdUswt5q/P32X6FrMrNl155taKd2mwf8jCMGUx&#10;6MHVDYuMbLz6y5VR3EMAGXscTAFSKi5yDVjNoP+qmqc1cyLXguQEd6Ap/D+3/H776ImqSjocjSix&#10;zOAjLTas8kAqQaJoIpCkQqJqF6aIf3JoEZvP0OCD7+8DXqb6G+lN+mNlBPVI+e5AM/oiHC/HlxeD&#10;yfmEEo66s/PRoJ/foThaOx/iFwGGJKGkHp8xs8u2dyFiJgjdQ1KwAFpVt0rrfEitIxbaky3DR9cx&#10;54gWf6C0JTUGH0362bGFZN561ja5Ebl5unCp8rbCLMWdFgmj7Tchkbxc6BuxGefCHuJndEJJDPUe&#10;ww5/zOo9xm0daJEjg40HY6Ms+Fx9nrYjZdWPPWWyxSPhJ3UnMTbLpuuIJVQ7bAgP7WwFx28Vvtod&#10;C/GReRwm7AFcEPEBP1IDsg6dRMka/K+37hMeexy1lNQ4nCUNPzfMC0r0V4vdfzkYj9M058N4cj7E&#10;gz/VLE81dmMWgK0wwFXkeBYTPuq9KD2YF9wj8xQVVcxyjF3SuBcXsV0ZuIe4mM8zCOfXsXhnnxxP&#10;rhO9qSefmxfmXde4aXzuYT/GbPqqf1tssrQw30SQKjd3IrhltSMeZz/3fLen0nI5PWfUcZvOfgMA&#10;AP//AwBQSwMEFAAGAAgAAAAhACexSYbgAAAACQEAAA8AAABkcnMvZG93bnJldi54bWxMj8tOwzAQ&#10;RfdI/IM1SGwQddKmrxCnQoiHxI6mgNi58ZBExOModpPw9wwrWI7u0Z1zs91kWzFg7xtHCuJZBAKp&#10;dKahSsGheLjegPBBk9GtI1TwjR52+flZplPjRnrBYR8qwSXkU62gDqFLpfRljVb7meuQOPt0vdWB&#10;z76Sptcjl9tWzqNoJa1uiD/UusO7Gsuv/ckq+Liq3p/99Pg6LpaL7v5pKNZvplDq8mK6vQERcAp/&#10;MPzqszrk7HR0JzJetArmcbxkVMEmAcH5drvibUcG4yQBmWfy/4L8BwAA//8DAFBLAQItABQABgAI&#10;AAAAIQC2gziS/gAAAOEBAAATAAAAAAAAAAAAAAAAAAAAAABbQ29udGVudF9UeXBlc10ueG1sUEsB&#10;Ai0AFAAGAAgAAAAhADj9If/WAAAAlAEAAAsAAAAAAAAAAAAAAAAALwEAAF9yZWxzLy5yZWxzUEsB&#10;Ai0AFAAGAAgAAAAhAPglq9qRAgAAlQUAAA4AAAAAAAAAAAAAAAAALgIAAGRycy9lMm9Eb2MueG1s&#10;UEsBAi0AFAAGAAgAAAAhACexSYbgAAAACQEAAA8AAAAAAAAAAAAAAAAA6wQAAGRycy9kb3ducmV2&#10;LnhtbFBLBQYAAAAABAAEAPMAAAD4BQAAAAA=&#10;" fillcolor="white [3201]" stroked="f" strokeweight=".5pt">
              <v:textbox>
                <w:txbxContent>
                  <w:p w14:paraId="7F1FEAC5" w14:textId="53ED76B5" w:rsidR="000F5FD1" w:rsidRPr="00617AE9" w:rsidRDefault="00377DFD" w:rsidP="00D218F3">
                    <w:pPr>
                      <w:jc w:val="center"/>
                      <w:rPr>
                        <w:rFonts w:ascii="Verdana" w:hAnsi="Verdana"/>
                        <w:b/>
                        <w:sz w:val="22"/>
                        <w:szCs w:val="22"/>
                      </w:rPr>
                    </w:pPr>
                    <w:hyperlink r:id="rId3" w:history="1">
                      <w:r w:rsidR="00D94A8F" w:rsidRPr="00617AE9">
                        <w:rPr>
                          <w:rStyle w:val="span"/>
                          <w:rFonts w:ascii="Verdana" w:hAnsi="Verdana"/>
                          <w:b/>
                          <w:iCs/>
                          <w:sz w:val="22"/>
                          <w:szCs w:val="22"/>
                        </w:rPr>
                        <w:t>INSTRUCTIVO PARA EL MANEJO DE SUSTANCIAS QUÍMICAS DE ASEO Y DISPOSICIÓN FINAL DE LOS ENVASES</w:t>
                      </w:r>
                    </w:hyperlink>
                  </w:p>
                </w:txbxContent>
              </v:textbox>
              <w10:wrap anchorx="page"/>
            </v:shape>
          </w:pict>
        </mc:Fallback>
      </mc:AlternateContent>
    </w:r>
  </w:p>
  <w:p w14:paraId="79F1788B" w14:textId="22556CAD" w:rsidR="006D1FE4" w:rsidRDefault="006D1FE4" w:rsidP="000F5FD1">
    <w:pPr>
      <w:pStyle w:val="Encabezado"/>
      <w:tabs>
        <w:tab w:val="clear" w:pos="4419"/>
        <w:tab w:val="clear" w:pos="8838"/>
        <w:tab w:val="left" w:pos="7275"/>
      </w:tabs>
      <w:ind w:left="-851"/>
      <w:jc w:val="right"/>
    </w:pP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9D32F8"/>
    <w:multiLevelType w:val="hybridMultilevel"/>
    <w:tmpl w:val="A20C2B9A"/>
    <w:lvl w:ilvl="0" w:tplc="240A0001">
      <w:start w:val="1"/>
      <w:numFmt w:val="bullet"/>
      <w:lvlText w:val=""/>
      <w:lvlJc w:val="left"/>
      <w:pPr>
        <w:ind w:left="720" w:hanging="360"/>
      </w:pPr>
      <w:rPr>
        <w:rFonts w:ascii="Symbol" w:hAnsi="Symbo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D17013"/>
    <w:multiLevelType w:val="hybridMultilevel"/>
    <w:tmpl w:val="9426F3E4"/>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A5784B"/>
    <w:multiLevelType w:val="hybridMultilevel"/>
    <w:tmpl w:val="17B24738"/>
    <w:lvl w:ilvl="0" w:tplc="2FFE7B7E">
      <w:start w:val="1"/>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E51761"/>
    <w:multiLevelType w:val="hybridMultilevel"/>
    <w:tmpl w:val="49BAE1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D2D7428"/>
    <w:multiLevelType w:val="hybridMultilevel"/>
    <w:tmpl w:val="AE56AD06"/>
    <w:lvl w:ilvl="0" w:tplc="A0A0902E">
      <w:start w:val="5"/>
      <w:numFmt w:val="bullet"/>
      <w:lvlText w:val="•"/>
      <w:lvlJc w:val="left"/>
      <w:pPr>
        <w:ind w:left="360" w:hanging="360"/>
      </w:pPr>
      <w:rPr>
        <w:rFonts w:ascii="Montserrat" w:eastAsia="Calibri" w:hAnsi="Montserrat"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E710EA5"/>
    <w:multiLevelType w:val="hybridMultilevel"/>
    <w:tmpl w:val="E76A5CD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126948"/>
    <w:multiLevelType w:val="hybridMultilevel"/>
    <w:tmpl w:val="5DD64F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1741633"/>
    <w:multiLevelType w:val="hybridMultilevel"/>
    <w:tmpl w:val="AFCA71A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880AD8"/>
    <w:multiLevelType w:val="hybridMultilevel"/>
    <w:tmpl w:val="D0A4DFDC"/>
    <w:lvl w:ilvl="0" w:tplc="240A0001">
      <w:start w:val="1"/>
      <w:numFmt w:val="bullet"/>
      <w:lvlText w:val=""/>
      <w:lvlJc w:val="left"/>
      <w:pPr>
        <w:ind w:left="360" w:hanging="360"/>
      </w:pPr>
      <w:rPr>
        <w:rFonts w:ascii="Symbol" w:hAnsi="Symbo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EB64381"/>
    <w:multiLevelType w:val="hybridMultilevel"/>
    <w:tmpl w:val="E87ECB62"/>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05849DB"/>
    <w:multiLevelType w:val="hybridMultilevel"/>
    <w:tmpl w:val="A3965C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22D1E3E"/>
    <w:multiLevelType w:val="hybridMultilevel"/>
    <w:tmpl w:val="A90CB6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2884406"/>
    <w:multiLevelType w:val="multilevel"/>
    <w:tmpl w:val="5DAC2D02"/>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1841CA"/>
    <w:multiLevelType w:val="multilevel"/>
    <w:tmpl w:val="95FEDD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7EA0D0A"/>
    <w:multiLevelType w:val="hybridMultilevel"/>
    <w:tmpl w:val="F8A8F380"/>
    <w:lvl w:ilvl="0" w:tplc="374E0C72">
      <w:start w:val="1"/>
      <w:numFmt w:val="decimal"/>
      <w:lvlText w:val="%1."/>
      <w:lvlJc w:val="left"/>
      <w:pPr>
        <w:ind w:left="720" w:hanging="360"/>
      </w:pPr>
      <w:rPr>
        <w:rFonts w:hint="default"/>
        <w:b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4D7835"/>
    <w:multiLevelType w:val="hybridMultilevel"/>
    <w:tmpl w:val="92FC73F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FC20E10"/>
    <w:multiLevelType w:val="hybridMultilevel"/>
    <w:tmpl w:val="5694E6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4" w15:restartNumberingAfterBreak="0">
    <w:nsid w:val="60E03268"/>
    <w:multiLevelType w:val="hybridMultilevel"/>
    <w:tmpl w:val="F7704266"/>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365766C"/>
    <w:multiLevelType w:val="hybridMultilevel"/>
    <w:tmpl w:val="CD1C685A"/>
    <w:lvl w:ilvl="0" w:tplc="0409000B">
      <w:start w:val="1"/>
      <w:numFmt w:val="bullet"/>
      <w:lvlText w:val=""/>
      <w:lvlJc w:val="left"/>
      <w:pPr>
        <w:ind w:left="1395" w:hanging="360"/>
      </w:pPr>
      <w:rPr>
        <w:rFonts w:ascii="Wingdings" w:hAnsi="Wingdings" w:hint="default"/>
      </w:rPr>
    </w:lvl>
    <w:lvl w:ilvl="1" w:tplc="0C0A0003" w:tentative="1">
      <w:start w:val="1"/>
      <w:numFmt w:val="bullet"/>
      <w:lvlText w:val="o"/>
      <w:lvlJc w:val="left"/>
      <w:pPr>
        <w:ind w:left="2115" w:hanging="360"/>
      </w:pPr>
      <w:rPr>
        <w:rFonts w:ascii="Courier New" w:hAnsi="Courier New" w:cs="Courier New" w:hint="default"/>
      </w:rPr>
    </w:lvl>
    <w:lvl w:ilvl="2" w:tplc="0C0A0005" w:tentative="1">
      <w:start w:val="1"/>
      <w:numFmt w:val="bullet"/>
      <w:lvlText w:val=""/>
      <w:lvlJc w:val="left"/>
      <w:pPr>
        <w:ind w:left="2835" w:hanging="360"/>
      </w:pPr>
      <w:rPr>
        <w:rFonts w:ascii="Wingdings" w:hAnsi="Wingdings" w:hint="default"/>
      </w:rPr>
    </w:lvl>
    <w:lvl w:ilvl="3" w:tplc="0C0A0001" w:tentative="1">
      <w:start w:val="1"/>
      <w:numFmt w:val="bullet"/>
      <w:lvlText w:val=""/>
      <w:lvlJc w:val="left"/>
      <w:pPr>
        <w:ind w:left="3555" w:hanging="360"/>
      </w:pPr>
      <w:rPr>
        <w:rFonts w:ascii="Symbol" w:hAnsi="Symbol" w:hint="default"/>
      </w:rPr>
    </w:lvl>
    <w:lvl w:ilvl="4" w:tplc="0C0A0003" w:tentative="1">
      <w:start w:val="1"/>
      <w:numFmt w:val="bullet"/>
      <w:lvlText w:val="o"/>
      <w:lvlJc w:val="left"/>
      <w:pPr>
        <w:ind w:left="4275" w:hanging="360"/>
      </w:pPr>
      <w:rPr>
        <w:rFonts w:ascii="Courier New" w:hAnsi="Courier New" w:cs="Courier New" w:hint="default"/>
      </w:rPr>
    </w:lvl>
    <w:lvl w:ilvl="5" w:tplc="0C0A0005" w:tentative="1">
      <w:start w:val="1"/>
      <w:numFmt w:val="bullet"/>
      <w:lvlText w:val=""/>
      <w:lvlJc w:val="left"/>
      <w:pPr>
        <w:ind w:left="4995" w:hanging="360"/>
      </w:pPr>
      <w:rPr>
        <w:rFonts w:ascii="Wingdings" w:hAnsi="Wingdings" w:hint="default"/>
      </w:rPr>
    </w:lvl>
    <w:lvl w:ilvl="6" w:tplc="0C0A0001" w:tentative="1">
      <w:start w:val="1"/>
      <w:numFmt w:val="bullet"/>
      <w:lvlText w:val=""/>
      <w:lvlJc w:val="left"/>
      <w:pPr>
        <w:ind w:left="5715" w:hanging="360"/>
      </w:pPr>
      <w:rPr>
        <w:rFonts w:ascii="Symbol" w:hAnsi="Symbol" w:hint="default"/>
      </w:rPr>
    </w:lvl>
    <w:lvl w:ilvl="7" w:tplc="0C0A0003" w:tentative="1">
      <w:start w:val="1"/>
      <w:numFmt w:val="bullet"/>
      <w:lvlText w:val="o"/>
      <w:lvlJc w:val="left"/>
      <w:pPr>
        <w:ind w:left="6435" w:hanging="360"/>
      </w:pPr>
      <w:rPr>
        <w:rFonts w:ascii="Courier New" w:hAnsi="Courier New" w:cs="Courier New" w:hint="default"/>
      </w:rPr>
    </w:lvl>
    <w:lvl w:ilvl="8" w:tplc="0C0A0005" w:tentative="1">
      <w:start w:val="1"/>
      <w:numFmt w:val="bullet"/>
      <w:lvlText w:val=""/>
      <w:lvlJc w:val="left"/>
      <w:pPr>
        <w:ind w:left="7155" w:hanging="360"/>
      </w:pPr>
      <w:rPr>
        <w:rFonts w:ascii="Wingdings" w:hAnsi="Wingdings" w:hint="default"/>
      </w:rPr>
    </w:lvl>
  </w:abstractNum>
  <w:abstractNum w:abstractNumId="26"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1E06806"/>
    <w:multiLevelType w:val="hybridMultilevel"/>
    <w:tmpl w:val="AA0AAF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7FA524E0"/>
    <w:multiLevelType w:val="hybridMultilevel"/>
    <w:tmpl w:val="9050E3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6"/>
  </w:num>
  <w:num w:numId="2">
    <w:abstractNumId w:val="1"/>
  </w:num>
  <w:num w:numId="3">
    <w:abstractNumId w:val="0"/>
  </w:num>
  <w:num w:numId="4">
    <w:abstractNumId w:val="23"/>
  </w:num>
  <w:num w:numId="5">
    <w:abstractNumId w:val="17"/>
  </w:num>
  <w:num w:numId="6">
    <w:abstractNumId w:val="4"/>
  </w:num>
  <w:num w:numId="7">
    <w:abstractNumId w:val="12"/>
  </w:num>
  <w:num w:numId="8">
    <w:abstractNumId w:val="20"/>
  </w:num>
  <w:num w:numId="9">
    <w:abstractNumId w:val="18"/>
  </w:num>
  <w:num w:numId="10">
    <w:abstractNumId w:val="13"/>
  </w:num>
  <w:num w:numId="11">
    <w:abstractNumId w:val="25"/>
  </w:num>
  <w:num w:numId="12">
    <w:abstractNumId w:val="8"/>
  </w:num>
  <w:num w:numId="13">
    <w:abstractNumId w:val="21"/>
  </w:num>
  <w:num w:numId="14">
    <w:abstractNumId w:val="10"/>
  </w:num>
  <w:num w:numId="15">
    <w:abstractNumId w:val="24"/>
  </w:num>
  <w:num w:numId="16">
    <w:abstractNumId w:val="3"/>
  </w:num>
  <w:num w:numId="17">
    <w:abstractNumId w:val="5"/>
  </w:num>
  <w:num w:numId="18">
    <w:abstractNumId w:val="15"/>
  </w:num>
  <w:num w:numId="19">
    <w:abstractNumId w:val="19"/>
  </w:num>
  <w:num w:numId="20">
    <w:abstractNumId w:val="2"/>
  </w:num>
  <w:num w:numId="21">
    <w:abstractNumId w:val="22"/>
  </w:num>
  <w:num w:numId="22">
    <w:abstractNumId w:val="11"/>
  </w:num>
  <w:num w:numId="23">
    <w:abstractNumId w:val="6"/>
  </w:num>
  <w:num w:numId="24">
    <w:abstractNumId w:val="16"/>
  </w:num>
  <w:num w:numId="25">
    <w:abstractNumId w:val="27"/>
  </w:num>
  <w:num w:numId="26">
    <w:abstractNumId w:val="9"/>
  </w:num>
  <w:num w:numId="27">
    <w:abstractNumId w:val="14"/>
  </w:num>
  <w:num w:numId="28">
    <w:abstractNumId w:val="2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71F65"/>
    <w:rsid w:val="000C329A"/>
    <w:rsid w:val="000F5FD1"/>
    <w:rsid w:val="00115C16"/>
    <w:rsid w:val="001359AE"/>
    <w:rsid w:val="00137E8A"/>
    <w:rsid w:val="001D7CFC"/>
    <w:rsid w:val="001F1E8E"/>
    <w:rsid w:val="00252B69"/>
    <w:rsid w:val="002F1AF1"/>
    <w:rsid w:val="00304B13"/>
    <w:rsid w:val="00315119"/>
    <w:rsid w:val="003507A4"/>
    <w:rsid w:val="003602F8"/>
    <w:rsid w:val="00361B78"/>
    <w:rsid w:val="003673DF"/>
    <w:rsid w:val="00377DFD"/>
    <w:rsid w:val="00392618"/>
    <w:rsid w:val="0039722C"/>
    <w:rsid w:val="003B4311"/>
    <w:rsid w:val="003C08B3"/>
    <w:rsid w:val="003C4949"/>
    <w:rsid w:val="003E0E1B"/>
    <w:rsid w:val="00433C82"/>
    <w:rsid w:val="00453C12"/>
    <w:rsid w:val="0045503B"/>
    <w:rsid w:val="004641D3"/>
    <w:rsid w:val="004723EA"/>
    <w:rsid w:val="0048742D"/>
    <w:rsid w:val="004A7B69"/>
    <w:rsid w:val="004C6193"/>
    <w:rsid w:val="004D062A"/>
    <w:rsid w:val="00502E6B"/>
    <w:rsid w:val="005352B6"/>
    <w:rsid w:val="00544409"/>
    <w:rsid w:val="00553562"/>
    <w:rsid w:val="005664AF"/>
    <w:rsid w:val="00584FDA"/>
    <w:rsid w:val="005A4964"/>
    <w:rsid w:val="005D712D"/>
    <w:rsid w:val="005F3176"/>
    <w:rsid w:val="00615F4A"/>
    <w:rsid w:val="00617AE9"/>
    <w:rsid w:val="00624E1B"/>
    <w:rsid w:val="00635A9D"/>
    <w:rsid w:val="00691730"/>
    <w:rsid w:val="0069785C"/>
    <w:rsid w:val="006A0D58"/>
    <w:rsid w:val="006C2ED6"/>
    <w:rsid w:val="006D1FE4"/>
    <w:rsid w:val="006D4BAB"/>
    <w:rsid w:val="006E2693"/>
    <w:rsid w:val="0071169A"/>
    <w:rsid w:val="00740CD4"/>
    <w:rsid w:val="00752BBC"/>
    <w:rsid w:val="007B7197"/>
    <w:rsid w:val="007F02DE"/>
    <w:rsid w:val="00815A28"/>
    <w:rsid w:val="008A795A"/>
    <w:rsid w:val="008B3812"/>
    <w:rsid w:val="008B51F5"/>
    <w:rsid w:val="008D0C22"/>
    <w:rsid w:val="00901B26"/>
    <w:rsid w:val="00950324"/>
    <w:rsid w:val="009821FB"/>
    <w:rsid w:val="00A2048E"/>
    <w:rsid w:val="00A26970"/>
    <w:rsid w:val="00A30CF1"/>
    <w:rsid w:val="00A50418"/>
    <w:rsid w:val="00A74B90"/>
    <w:rsid w:val="00A75278"/>
    <w:rsid w:val="00AA3347"/>
    <w:rsid w:val="00AA3F20"/>
    <w:rsid w:val="00AB2CDD"/>
    <w:rsid w:val="00AE257D"/>
    <w:rsid w:val="00AF746E"/>
    <w:rsid w:val="00B42D45"/>
    <w:rsid w:val="00B663D7"/>
    <w:rsid w:val="00B91859"/>
    <w:rsid w:val="00BF513B"/>
    <w:rsid w:val="00C40277"/>
    <w:rsid w:val="00C876D6"/>
    <w:rsid w:val="00C96E05"/>
    <w:rsid w:val="00C96E6E"/>
    <w:rsid w:val="00CD1132"/>
    <w:rsid w:val="00CF0A89"/>
    <w:rsid w:val="00D1639C"/>
    <w:rsid w:val="00D217DE"/>
    <w:rsid w:val="00D218F3"/>
    <w:rsid w:val="00D2621A"/>
    <w:rsid w:val="00D71437"/>
    <w:rsid w:val="00D83FF3"/>
    <w:rsid w:val="00D840C6"/>
    <w:rsid w:val="00D94A8F"/>
    <w:rsid w:val="00DB5EEB"/>
    <w:rsid w:val="00DD784F"/>
    <w:rsid w:val="00DE3E38"/>
    <w:rsid w:val="00DE630B"/>
    <w:rsid w:val="00E1130F"/>
    <w:rsid w:val="00E62C73"/>
    <w:rsid w:val="00EA2436"/>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4D062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2Car">
    <w:name w:val="Título 2 Car"/>
    <w:basedOn w:val="Fuentedeprrafopredeter"/>
    <w:link w:val="Ttulo2"/>
    <w:uiPriority w:val="9"/>
    <w:semiHidden/>
    <w:rsid w:val="004D062A"/>
    <w:rPr>
      <w:rFonts w:asciiTheme="majorHAnsi" w:eastAsiaTheme="majorEastAsia" w:hAnsiTheme="majorHAnsi" w:cstheme="majorBidi"/>
      <w:color w:val="2F5496" w:themeColor="accent1" w:themeShade="BF"/>
      <w:sz w:val="26"/>
      <w:szCs w:val="26"/>
    </w:rPr>
  </w:style>
  <w:style w:type="character" w:styleId="Hipervnculo">
    <w:name w:val="Hyperlink"/>
    <w:uiPriority w:val="99"/>
    <w:rsid w:val="004D062A"/>
    <w:rPr>
      <w:color w:val="0000FF"/>
      <w:u w:val="single"/>
    </w:rPr>
  </w:style>
  <w:style w:type="paragraph" w:styleId="TDC2">
    <w:name w:val="toc 2"/>
    <w:basedOn w:val="Normal"/>
    <w:next w:val="Normal"/>
    <w:autoRedefine/>
    <w:uiPriority w:val="39"/>
    <w:unhideWhenUsed/>
    <w:rsid w:val="004D062A"/>
    <w:pPr>
      <w:tabs>
        <w:tab w:val="left" w:pos="660"/>
        <w:tab w:val="right" w:leader="dot" w:pos="9345"/>
      </w:tabs>
      <w:suppressAutoHyphens/>
      <w:autoSpaceDN w:val="0"/>
      <w:ind w:left="220"/>
      <w:textAlignment w:val="baseline"/>
    </w:pPr>
    <w:rPr>
      <w:rFonts w:ascii="Calibri" w:eastAsia="Calibri" w:hAnsi="Calibri" w:cs="Calibri"/>
      <w:sz w:val="22"/>
      <w:szCs w:val="22"/>
      <w:lang w:eastAsia="es-CO"/>
    </w:rPr>
  </w:style>
  <w:style w:type="character" w:customStyle="1" w:styleId="span">
    <w:name w:val="span"/>
    <w:basedOn w:val="Fuentedeprrafopredeter"/>
    <w:rsid w:val="00D94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s://suiteve.supervigilancia.gov.co/suiteve/doc/searchers?soa=3&amp;mdl=doc&amp;_sveVrs=1002620240803&amp;&amp;mis=doc-E-8" TargetMode="External"/><Relationship Id="rId2" Type="http://schemas.openxmlformats.org/officeDocument/2006/relationships/hyperlink" Target="https://suiteve.supervigilancia.gov.co/suiteve/doc/searchers?soa=3&amp;mdl=doc&amp;_sveVrs=1002620240803&amp;&amp;mis=doc-E-8"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E34E4-541A-44B0-811E-E2ACF4CA8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3278</Words>
  <Characters>18033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Andrea Diaz Criollo</cp:lastModifiedBy>
  <cp:revision>6</cp:revision>
  <cp:lastPrinted>2023-06-29T15:02:00Z</cp:lastPrinted>
  <dcterms:created xsi:type="dcterms:W3CDTF">2024-09-18T19:23:00Z</dcterms:created>
  <dcterms:modified xsi:type="dcterms:W3CDTF">2024-09-27T16:21:00Z</dcterms:modified>
</cp:coreProperties>
</file>